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203F" w14:textId="77777777" w:rsidR="002B6E00" w:rsidRPr="00E55C8C" w:rsidRDefault="008C299B">
      <w:pPr>
        <w:spacing w:after="5" w:line="259" w:lineRule="auto"/>
        <w:ind w:left="-5"/>
        <w:jc w:val="left"/>
        <w:rPr>
          <w:color w:val="auto"/>
        </w:rPr>
      </w:pPr>
      <w:r w:rsidRPr="00E55C8C">
        <w:rPr>
          <w:b/>
          <w:color w:val="auto"/>
        </w:rPr>
        <w:t xml:space="preserve">INFORMACJE OGÓLNE DOTYCZĄCE EURO- FATCA: </w:t>
      </w:r>
    </w:p>
    <w:p w14:paraId="4119CBDB" w14:textId="77777777" w:rsidR="002B6E00" w:rsidRPr="00E55C8C" w:rsidRDefault="008C299B">
      <w:pPr>
        <w:spacing w:after="234"/>
        <w:rPr>
          <w:color w:val="auto"/>
        </w:rPr>
      </w:pPr>
      <w:r w:rsidRPr="00E55C8C">
        <w:rPr>
          <w:color w:val="auto"/>
        </w:rPr>
        <w:t xml:space="preserve">Polska, jako państwo członkowskie Unii Europejskiej i Organizacji Współpracy Gospodarczej i Rozwoju                  – zobowiązała się do wymieniania z innymi państwami informacji o aktywach finansowych rezydentów tychże państw zgromadzonych na rachunkach prowadzonych przez polskie instytucje finansowe, oczekując w zamian otrzymania analogicznych danych w odniesieniu do rachunków finansowych utrzymywanych dla polskich rezydentów podatkowych przez zagraniczne instytucje finansowe. </w:t>
      </w:r>
    </w:p>
    <w:p w14:paraId="15AE6887" w14:textId="77777777" w:rsidR="002B6E00" w:rsidRPr="00E55C8C" w:rsidRDefault="008C299B">
      <w:pPr>
        <w:spacing w:after="234"/>
        <w:rPr>
          <w:color w:val="auto"/>
        </w:rPr>
      </w:pPr>
      <w:r w:rsidRPr="00E55C8C">
        <w:rPr>
          <w:color w:val="auto"/>
        </w:rPr>
        <w:t xml:space="preserve">W tym celu rządy na całym świecie wprowadzają standard automatycznej wymiany informacji w dziedzinie opodatkowania (ang. </w:t>
      </w:r>
      <w:proofErr w:type="spellStart"/>
      <w:r w:rsidRPr="00E55C8C">
        <w:rPr>
          <w:color w:val="auto"/>
        </w:rPr>
        <w:t>Common</w:t>
      </w:r>
      <w:proofErr w:type="spellEnd"/>
      <w:r w:rsidRPr="00E55C8C">
        <w:rPr>
          <w:color w:val="auto"/>
        </w:rPr>
        <w:t xml:space="preserve"> Reporting Standard, CRS), tj. wymóg zgłaszania i gromadzenia informacji obowiązujący instytucje finansowe na całym świecie, w tym również Bank Spółdzielczy w Wysokiej. </w:t>
      </w:r>
    </w:p>
    <w:p w14:paraId="5EECBFF5" w14:textId="77777777" w:rsidR="002B6E00" w:rsidRPr="00E55C8C" w:rsidRDefault="008C299B">
      <w:pPr>
        <w:spacing w:after="232"/>
        <w:rPr>
          <w:color w:val="auto"/>
        </w:rPr>
      </w:pPr>
      <w:r w:rsidRPr="00E55C8C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EFB8F3" wp14:editId="71972EFF">
                <wp:simplePos x="0" y="0"/>
                <wp:positionH relativeFrom="page">
                  <wp:posOffset>0</wp:posOffset>
                </wp:positionH>
                <wp:positionV relativeFrom="page">
                  <wp:posOffset>9693973</wp:posOffset>
                </wp:positionV>
                <wp:extent cx="6894195" cy="549603"/>
                <wp:effectExtent l="0" t="0" r="0" b="0"/>
                <wp:wrapTopAndBottom/>
                <wp:docPr id="6706" name="Group 6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549603"/>
                          <a:chOff x="0" y="0"/>
                          <a:chExt cx="6894195" cy="54960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6661150" y="196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9E9F2" w14:textId="77777777" w:rsidR="002B6E00" w:rsidRDefault="008C29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71234" y="198386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68EBF" w14:textId="77777777" w:rsidR="002B6E00" w:rsidRDefault="008C29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866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61150" y="1983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9AB32" w14:textId="77777777" w:rsidR="002B6E00" w:rsidRDefault="008C29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88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99465" y="40679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EEA72" w14:textId="77777777" w:rsidR="002B6E00" w:rsidRDefault="008C29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6389370" y="0"/>
                            <a:ext cx="5048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 h="504825">
                                <a:moveTo>
                                  <a:pt x="0" y="252413"/>
                                </a:moveTo>
                                <a:cubicBezTo>
                                  <a:pt x="0" y="113005"/>
                                  <a:pt x="113030" y="0"/>
                                  <a:pt x="252476" y="0"/>
                                </a:cubicBezTo>
                                <a:cubicBezTo>
                                  <a:pt x="391795" y="0"/>
                                  <a:pt x="504825" y="113005"/>
                                  <a:pt x="504825" y="252413"/>
                                </a:cubicBezTo>
                                <a:cubicBezTo>
                                  <a:pt x="504825" y="391808"/>
                                  <a:pt x="391795" y="504825"/>
                                  <a:pt x="252476" y="504825"/>
                                </a:cubicBezTo>
                                <a:cubicBezTo>
                                  <a:pt x="113030" y="504825"/>
                                  <a:pt x="0" y="391808"/>
                                  <a:pt x="0" y="2524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88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2283"/>
                            <a:ext cx="6396355" cy="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355" h="527">
                                <a:moveTo>
                                  <a:pt x="0" y="527"/>
                                </a:moveTo>
                                <a:lnTo>
                                  <a:pt x="6396355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88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06" style="width:542.85pt;height:43.2758pt;position:absolute;mso-position-horizontal-relative:page;mso-position-horizontal:absolute;margin-left:0pt;mso-position-vertical-relative:page;margin-top:763.305pt;" coordsize="68941,5496">
                <v:rect id="Rectangle 16" style="position:absolute;width:421;height:1899;left:66611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202;height:2415;left:65712;top: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8866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" style="position:absolute;width:535;height:2415;left:66611;top: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88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8994;top:4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style="position:absolute;width:5048;height:5048;left:63893;top:0;" coordsize="504825,504825" path="m0,252413c0,113005,113030,0,252476,0c391795,0,504825,113005,504825,252413c504825,391808,391795,504825,252476,504825c113030,504825,0,391808,0,252413x">
                  <v:stroke weight="1pt" endcap="flat" dashstyle="4 3" joinstyle="round" on="true" color="#008866"/>
                  <v:fill on="false" color="#000000" opacity="0"/>
                </v:shape>
                <v:shape id="Shape 21" style="position:absolute;width:63963;height:5;left:0;top:2822;" coordsize="6396355,527" path="m0,527l6396355,0">
                  <v:stroke weight="1pt" endcap="flat" dashstyle="4 3" joinstyle="round" on="true" color="#008866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E55C8C">
        <w:rPr>
          <w:color w:val="auto"/>
        </w:rPr>
        <w:t>W obszarze Unii Europejskiej (UE), istotnym aktem prawnym uprawniającym do wymiany takich informacji jest Dyrektywa Rady UE 2011/16/UE, dotycząca współpracy administracyjnej w obszarze opodatkowania. Wskazana Dyrektywa ustanawia wszystkie konieczne procedury lepszej współpracy pomiędzy organami administracji podatkowej w Unii Europejskiej. Dyrektywę tę zmieniono wprowadzając Dyrektywę Rady UE 2014/107/UE, poszerzając tym samym zakres współpracy pomiędzy organami podatkowymi o automatyczną wymianę informacji o stanie rachunku. Dyrektywę opublikowano w Dzienniku Urzędowym Unii Europejskiej 16 grudnia 2014</w:t>
      </w:r>
      <w:r w:rsidRPr="00E55C8C">
        <w:rPr>
          <w:color w:val="auto"/>
          <w:u w:val="single" w:color="008866"/>
        </w:rPr>
        <w:t xml:space="preserve">. </w:t>
      </w:r>
      <w:r w:rsidRPr="00E55C8C">
        <w:rPr>
          <w:b/>
          <w:color w:val="auto"/>
          <w:u w:val="single" w:color="008866"/>
        </w:rPr>
        <w:t xml:space="preserve">link: </w:t>
      </w:r>
      <w:hyperlink r:id="rId7">
        <w:r w:rsidRPr="00E55C8C">
          <w:rPr>
            <w:b/>
            <w:color w:val="auto"/>
            <w:u w:val="single" w:color="008866"/>
          </w:rPr>
          <w:t>http://eur</w:t>
        </w:r>
      </w:hyperlink>
      <w:hyperlink r:id="rId8">
        <w:r w:rsidRPr="00E55C8C">
          <w:rPr>
            <w:b/>
            <w:color w:val="auto"/>
            <w:u w:val="single" w:color="008866"/>
          </w:rPr>
          <w:t>-</w:t>
        </w:r>
      </w:hyperlink>
      <w:hyperlink r:id="rId9">
        <w:r w:rsidRPr="00E55C8C">
          <w:rPr>
            <w:b/>
            <w:color w:val="auto"/>
            <w:u w:val="single" w:color="008866"/>
          </w:rPr>
          <w:t>lex.europa.eu/legal</w:t>
        </w:r>
      </w:hyperlink>
      <w:hyperlink r:id="rId10">
        <w:r w:rsidRPr="00E55C8C">
          <w:rPr>
            <w:b/>
            <w:color w:val="auto"/>
            <w:u w:val="single" w:color="008866"/>
          </w:rPr>
          <w:t>-</w:t>
        </w:r>
      </w:hyperlink>
      <w:hyperlink r:id="rId11">
        <w:r w:rsidRPr="00E55C8C">
          <w:rPr>
            <w:b/>
            <w:color w:val="auto"/>
            <w:u w:val="single" w:color="008866"/>
          </w:rPr>
          <w:t>content/PL/TXT/PDF/?uri=OJ:L:2014:359:FULL&amp;from=PL</w:t>
        </w:r>
      </w:hyperlink>
      <w:hyperlink r:id="rId12">
        <w:r w:rsidRPr="00E55C8C">
          <w:rPr>
            <w:b/>
            <w:color w:val="auto"/>
          </w:rPr>
          <w:t xml:space="preserve"> </w:t>
        </w:r>
      </w:hyperlink>
    </w:p>
    <w:p w14:paraId="3B8D0DB2" w14:textId="77777777" w:rsidR="002B6E00" w:rsidRPr="00E55C8C" w:rsidRDefault="008C299B">
      <w:pPr>
        <w:spacing w:after="234"/>
        <w:rPr>
          <w:color w:val="auto"/>
        </w:rPr>
      </w:pPr>
      <w:r w:rsidRPr="00E55C8C">
        <w:rPr>
          <w:color w:val="auto"/>
        </w:rPr>
        <w:t xml:space="preserve">Podstawą prawną w Polsce, uprawniającą do wymiany takich informacji jest - Ustawa z dnia 9 marca 2017 r. o  wymianie informacji podatkowych z innymi państwami - link: </w:t>
      </w:r>
      <w:hyperlink r:id="rId13">
        <w:r w:rsidRPr="00E55C8C">
          <w:rPr>
            <w:b/>
            <w:color w:val="auto"/>
            <w:u w:val="single" w:color="008866"/>
          </w:rPr>
          <w:t>http://dziennikustaw.gov.pl/DU/2017/648</w:t>
        </w:r>
      </w:hyperlink>
      <w:hyperlink r:id="rId14">
        <w:r w:rsidRPr="00E55C8C">
          <w:rPr>
            <w:b/>
            <w:color w:val="auto"/>
          </w:rPr>
          <w:t xml:space="preserve"> </w:t>
        </w:r>
      </w:hyperlink>
    </w:p>
    <w:p w14:paraId="2D532A86" w14:textId="77777777" w:rsidR="002B6E00" w:rsidRPr="00E55C8C" w:rsidRDefault="008C299B">
      <w:pPr>
        <w:rPr>
          <w:color w:val="auto"/>
        </w:rPr>
      </w:pPr>
      <w:r w:rsidRPr="00E55C8C">
        <w:rPr>
          <w:color w:val="auto"/>
        </w:rPr>
        <w:t>Działając w świetle przepisów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, Bank Spółdzielczy w Wysokiej zobowiązany jest określić, gdzie jego klienci powinni płacić podatki (co często wiąże się z określeniem ich rezydencji podatkowej). W celu uzyskania tych informacji Bank Spółdzielczy w Wysokiej będzie korzystał z danych, które już posiada o swoich klientach, może również poprosić o dostarczenie brakujących danych. </w:t>
      </w:r>
    </w:p>
    <w:p w14:paraId="6A932DBE" w14:textId="77777777" w:rsidR="002B6E00" w:rsidRPr="00E55C8C" w:rsidRDefault="008C299B">
      <w:pPr>
        <w:rPr>
          <w:color w:val="auto"/>
        </w:rPr>
      </w:pPr>
      <w:r w:rsidRPr="00E55C8C">
        <w:rPr>
          <w:color w:val="auto"/>
        </w:rPr>
        <w:t xml:space="preserve">Jeśli okaże się, że klient jest rezydentem podatkowym kraju innego niż ten, w którym są prowadzone jego rachunki bankowe, Bank Spółdzielczy w Wysokiej przekaże taką informację do lokalnych organów podatkowych. Organy podatkowe mogą następnie wymieniać te informacje z organami podatkowymi kraju, którego rezydentem podatkowym jest dany klient. </w:t>
      </w:r>
    </w:p>
    <w:p w14:paraId="2B4ED4C6" w14:textId="77777777" w:rsidR="002B6E00" w:rsidRPr="00E55C8C" w:rsidRDefault="008C299B">
      <w:pPr>
        <w:spacing w:after="234"/>
        <w:rPr>
          <w:color w:val="auto"/>
        </w:rPr>
      </w:pPr>
      <w:r w:rsidRPr="00E55C8C">
        <w:rPr>
          <w:color w:val="auto"/>
        </w:rPr>
        <w:t xml:space="preserve">Powyższy obowiązek dotyczy Klientów, którzy nabyli lub po 01.05.2017 r. będą zainteresowani nabyciem m.in. następujących produktów: rachunki bieżące, rachunki pomocnicze, lokaty terminowe, rachunki powiernicze, otwarte mieszkaniowe rachunki powiernicze, karty kredytowe. </w:t>
      </w:r>
    </w:p>
    <w:p w14:paraId="0A458859" w14:textId="77777777" w:rsidR="002B6E00" w:rsidRPr="00E55C8C" w:rsidRDefault="008C299B">
      <w:pPr>
        <w:spacing w:after="5" w:line="259" w:lineRule="auto"/>
        <w:ind w:left="-5"/>
        <w:jc w:val="left"/>
        <w:rPr>
          <w:color w:val="auto"/>
        </w:rPr>
      </w:pPr>
      <w:r w:rsidRPr="00E55C8C">
        <w:rPr>
          <w:b/>
          <w:color w:val="auto"/>
        </w:rPr>
        <w:t xml:space="preserve">KONIECZNE DZIAŁANIA </w:t>
      </w:r>
    </w:p>
    <w:p w14:paraId="288C7EB2" w14:textId="77777777" w:rsidR="002B6E00" w:rsidRPr="00E55C8C" w:rsidRDefault="008C299B">
      <w:pPr>
        <w:rPr>
          <w:color w:val="auto"/>
        </w:rPr>
      </w:pPr>
      <w:r w:rsidRPr="00E55C8C">
        <w:rPr>
          <w:color w:val="auto"/>
        </w:rPr>
        <w:t>Aby potwierdzić swój status w świetle przepisów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>, Klienci mogą zostać poproszeni o wypełnienie stosownego formularza. Istnieją dwa rodzaje formularzy na potrzeby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. Formularze te znajdują się pod poniższymi linkami, wraz z wyjaśnieniem, jakiego podmiotu każdy z tych formularzy dotyczy, tj.: </w:t>
      </w:r>
    </w:p>
    <w:p w14:paraId="30E54DA1" w14:textId="77777777" w:rsidR="002B6E00" w:rsidRPr="00E55C8C" w:rsidRDefault="0062274A">
      <w:pPr>
        <w:numPr>
          <w:ilvl w:val="0"/>
          <w:numId w:val="2"/>
        </w:numPr>
        <w:ind w:hanging="566"/>
        <w:rPr>
          <w:color w:val="auto"/>
        </w:rPr>
      </w:pPr>
      <w:hyperlink r:id="rId15">
        <w:r w:rsidR="008C299B" w:rsidRPr="00E55C8C">
          <w:rPr>
            <w:color w:val="auto"/>
          </w:rPr>
          <w:t>Oświadczenie CRS dla Klientów Indywidualnych</w:t>
        </w:r>
      </w:hyperlink>
      <w:hyperlink r:id="rId16">
        <w:r w:rsidR="008C299B" w:rsidRPr="00E55C8C">
          <w:rPr>
            <w:color w:val="auto"/>
          </w:rPr>
          <w:t xml:space="preserve">  </w:t>
        </w:r>
      </w:hyperlink>
      <w:r w:rsidR="008C299B" w:rsidRPr="00E55C8C">
        <w:rPr>
          <w:color w:val="auto"/>
        </w:rPr>
        <w:t>– formularz ten przeznaczony jest dla klientów indywidualnych, w celu określenia ich statusu w świetle przepisów Euro-</w:t>
      </w:r>
      <w:proofErr w:type="spellStart"/>
      <w:r w:rsidR="008C299B" w:rsidRPr="00E55C8C">
        <w:rPr>
          <w:color w:val="auto"/>
        </w:rPr>
        <w:t>Fatca</w:t>
      </w:r>
      <w:proofErr w:type="spellEnd"/>
      <w:r w:rsidR="008C299B" w:rsidRPr="00E55C8C">
        <w:rPr>
          <w:color w:val="auto"/>
        </w:rPr>
        <w:t xml:space="preserve">. </w:t>
      </w:r>
      <w:r w:rsidR="008C299B" w:rsidRPr="00E55C8C">
        <w:rPr>
          <w:b/>
          <w:color w:val="auto"/>
        </w:rPr>
        <w:t>Link Oświadczenia</w:t>
      </w:r>
      <w:r w:rsidR="008C299B" w:rsidRPr="00E55C8C">
        <w:rPr>
          <w:color w:val="auto"/>
        </w:rPr>
        <w:t xml:space="preserve">  </w:t>
      </w:r>
    </w:p>
    <w:p w14:paraId="67DFE098" w14:textId="77777777" w:rsidR="002B6E00" w:rsidRPr="00E55C8C" w:rsidRDefault="0062274A">
      <w:pPr>
        <w:numPr>
          <w:ilvl w:val="0"/>
          <w:numId w:val="2"/>
        </w:numPr>
        <w:ind w:hanging="566"/>
        <w:rPr>
          <w:color w:val="auto"/>
        </w:rPr>
      </w:pPr>
      <w:hyperlink r:id="rId17">
        <w:r w:rsidR="008C299B" w:rsidRPr="00E55C8C">
          <w:rPr>
            <w:color w:val="auto"/>
          </w:rPr>
          <w:t>Oświadczenie</w:t>
        </w:r>
      </w:hyperlink>
      <w:hyperlink r:id="rId18">
        <w:r w:rsidR="008C299B" w:rsidRPr="00E55C8C">
          <w:rPr>
            <w:color w:val="auto"/>
          </w:rPr>
          <w:t xml:space="preserve"> </w:t>
        </w:r>
      </w:hyperlink>
      <w:hyperlink r:id="rId19">
        <w:r w:rsidR="008C299B" w:rsidRPr="00E55C8C">
          <w:rPr>
            <w:color w:val="auto"/>
          </w:rPr>
          <w:t>CRS dla Klientów Instytucjonalnych/</w:t>
        </w:r>
        <w:proofErr w:type="spellStart"/>
        <w:r w:rsidR="008C299B" w:rsidRPr="00E55C8C">
          <w:rPr>
            <w:color w:val="auto"/>
          </w:rPr>
          <w:t>Podmiotow</w:t>
        </w:r>
        <w:proofErr w:type="spellEnd"/>
      </w:hyperlink>
      <w:hyperlink r:id="rId20">
        <w:r w:rsidR="008C299B" w:rsidRPr="00E55C8C">
          <w:rPr>
            <w:color w:val="auto"/>
          </w:rPr>
          <w:t xml:space="preserve"> </w:t>
        </w:r>
      </w:hyperlink>
      <w:hyperlink r:id="rId21">
        <w:r w:rsidR="008C299B" w:rsidRPr="00E55C8C">
          <w:rPr>
            <w:color w:val="auto"/>
          </w:rPr>
          <w:t>–</w:t>
        </w:r>
      </w:hyperlink>
      <w:hyperlink r:id="rId22">
        <w:r w:rsidR="008C299B" w:rsidRPr="00E55C8C">
          <w:rPr>
            <w:color w:val="auto"/>
          </w:rPr>
          <w:t xml:space="preserve"> </w:t>
        </w:r>
      </w:hyperlink>
      <w:hyperlink r:id="rId23">
        <w:r w:rsidR="008C299B" w:rsidRPr="00E55C8C">
          <w:rPr>
            <w:color w:val="auto"/>
          </w:rPr>
          <w:t xml:space="preserve">formularz ten przeznaczony jest </w:t>
        </w:r>
      </w:hyperlink>
      <w:hyperlink r:id="rId24">
        <w:r w:rsidR="008C299B" w:rsidRPr="00E55C8C">
          <w:rPr>
            <w:color w:val="auto"/>
          </w:rPr>
          <w:t>dla</w:t>
        </w:r>
      </w:hyperlink>
      <w:hyperlink r:id="rId25">
        <w:r w:rsidR="008C299B" w:rsidRPr="00E55C8C">
          <w:rPr>
            <w:color w:val="auto"/>
          </w:rPr>
          <w:t xml:space="preserve"> </w:t>
        </w:r>
      </w:hyperlink>
      <w:hyperlink r:id="rId26">
        <w:r w:rsidR="008C299B" w:rsidRPr="00E55C8C">
          <w:rPr>
            <w:color w:val="auto"/>
          </w:rPr>
          <w:t xml:space="preserve">klientów indywidualnych, w celu określenia ich statusu w świetle przepisów </w:t>
        </w:r>
      </w:hyperlink>
      <w:hyperlink r:id="rId27">
        <w:r w:rsidR="008C299B" w:rsidRPr="00E55C8C">
          <w:rPr>
            <w:color w:val="auto"/>
          </w:rPr>
          <w:t>Euro</w:t>
        </w:r>
      </w:hyperlink>
      <w:hyperlink r:id="rId28">
        <w:r w:rsidR="008C299B" w:rsidRPr="00E55C8C">
          <w:rPr>
            <w:color w:val="auto"/>
          </w:rPr>
          <w:t>-</w:t>
        </w:r>
        <w:proofErr w:type="spellStart"/>
      </w:hyperlink>
      <w:hyperlink r:id="rId29">
        <w:r w:rsidR="008C299B" w:rsidRPr="00E55C8C">
          <w:rPr>
            <w:color w:val="auto"/>
          </w:rPr>
          <w:t>Fatca</w:t>
        </w:r>
        <w:proofErr w:type="spellEnd"/>
      </w:hyperlink>
      <w:hyperlink r:id="rId30">
        <w:r w:rsidR="008C299B" w:rsidRPr="00E55C8C">
          <w:rPr>
            <w:color w:val="auto"/>
          </w:rPr>
          <w:t>.</w:t>
        </w:r>
      </w:hyperlink>
      <w:hyperlink r:id="rId31">
        <w:r w:rsidR="008C299B" w:rsidRPr="00E55C8C">
          <w:rPr>
            <w:color w:val="auto"/>
          </w:rPr>
          <w:t xml:space="preserve"> </w:t>
        </w:r>
      </w:hyperlink>
      <w:hyperlink r:id="rId32">
        <w:r w:rsidR="008C299B" w:rsidRPr="00E55C8C">
          <w:rPr>
            <w:b/>
            <w:color w:val="auto"/>
          </w:rPr>
          <w:t xml:space="preserve">Link </w:t>
        </w:r>
      </w:hyperlink>
      <w:hyperlink r:id="rId33">
        <w:r w:rsidR="008C299B" w:rsidRPr="00E55C8C">
          <w:rPr>
            <w:b/>
            <w:color w:val="auto"/>
          </w:rPr>
          <w:t>Oświadczenia</w:t>
        </w:r>
      </w:hyperlink>
      <w:hyperlink r:id="rId34">
        <w:r w:rsidR="008C299B" w:rsidRPr="00E55C8C">
          <w:rPr>
            <w:color w:val="auto"/>
          </w:rPr>
          <w:t xml:space="preserve"> </w:t>
        </w:r>
      </w:hyperlink>
    </w:p>
    <w:p w14:paraId="12B80F86" w14:textId="77777777" w:rsidR="002B6E00" w:rsidRPr="00E55C8C" w:rsidRDefault="008C299B">
      <w:pPr>
        <w:spacing w:after="19" w:line="251" w:lineRule="auto"/>
        <w:jc w:val="left"/>
        <w:rPr>
          <w:color w:val="auto"/>
        </w:rPr>
      </w:pPr>
      <w:r w:rsidRPr="00E55C8C">
        <w:rPr>
          <w:color w:val="auto"/>
        </w:rPr>
        <w:t xml:space="preserve">Niezłożenie Oświadczenia o statusie EURO-FATCA spowoduje od dnia 01 maja 2017 r. brak możliwości nabywania produktów. </w:t>
      </w:r>
    </w:p>
    <w:p w14:paraId="3A383529" w14:textId="77777777" w:rsidR="002B6E00" w:rsidRPr="00E55C8C" w:rsidRDefault="008C299B">
      <w:pPr>
        <w:rPr>
          <w:color w:val="auto"/>
        </w:rPr>
      </w:pPr>
      <w:r w:rsidRPr="00E55C8C">
        <w:rPr>
          <w:color w:val="auto"/>
        </w:rPr>
        <w:t>W przypadku wątpliwości w zakresie znaczenia wskazanych powyżej terminów oraz ich zastosowania, należy kliknąć zakładk</w:t>
      </w:r>
      <w:hyperlink r:id="rId35">
        <w:r w:rsidRPr="00E55C8C">
          <w:rPr>
            <w:color w:val="auto"/>
          </w:rPr>
          <w:t xml:space="preserve">ę </w:t>
        </w:r>
      </w:hyperlink>
      <w:hyperlink r:id="rId36">
        <w:r w:rsidRPr="00E55C8C">
          <w:rPr>
            <w:color w:val="auto"/>
          </w:rPr>
          <w:t>Wykaz ter</w:t>
        </w:r>
      </w:hyperlink>
      <w:hyperlink r:id="rId37">
        <w:r w:rsidRPr="00E55C8C">
          <w:rPr>
            <w:color w:val="auto"/>
          </w:rPr>
          <w:t>minów</w:t>
        </w:r>
      </w:hyperlink>
      <w:hyperlink r:id="rId38">
        <w:r w:rsidRPr="00E55C8C">
          <w:rPr>
            <w:color w:val="auto"/>
          </w:rPr>
          <w:t xml:space="preserve"> </w:t>
        </w:r>
      </w:hyperlink>
      <w:hyperlink r:id="rId39">
        <w:r w:rsidRPr="00E55C8C">
          <w:rPr>
            <w:color w:val="auto"/>
          </w:rPr>
          <w:t>i</w:t>
        </w:r>
      </w:hyperlink>
      <w:r w:rsidRPr="00E55C8C">
        <w:rPr>
          <w:color w:val="auto"/>
        </w:rPr>
        <w:t xml:space="preserve"> zapoznać się z ich definicjami. </w:t>
      </w:r>
    </w:p>
    <w:p w14:paraId="195C498D" w14:textId="77777777" w:rsidR="002B6E00" w:rsidRPr="00E55C8C" w:rsidRDefault="008C299B">
      <w:pPr>
        <w:spacing w:after="241" w:line="240" w:lineRule="auto"/>
        <w:ind w:left="0" w:firstLine="0"/>
        <w:jc w:val="left"/>
        <w:rPr>
          <w:color w:val="auto"/>
        </w:rPr>
      </w:pPr>
      <w:r w:rsidRPr="00E55C8C">
        <w:rPr>
          <w:color w:val="auto"/>
        </w:rPr>
        <w:t>W przypadku pytań dotyczących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i Państwa sytuacji podatkowej, prosimy skontaktować się z niezależnym doradcą, gdyż Bank Spółdzielczy w Wysokiej nie świadczy usług doradztwa podatkowego lub prawnego.  </w:t>
      </w:r>
    </w:p>
    <w:p w14:paraId="047E7008" w14:textId="77777777" w:rsidR="002B6E00" w:rsidRPr="00E55C8C" w:rsidRDefault="008C299B">
      <w:pPr>
        <w:spacing w:after="240" w:line="242" w:lineRule="auto"/>
        <w:ind w:left="0" w:firstLine="0"/>
        <w:jc w:val="left"/>
        <w:rPr>
          <w:color w:val="auto"/>
        </w:rPr>
      </w:pPr>
      <w:r w:rsidRPr="00E55C8C">
        <w:rPr>
          <w:color w:val="auto"/>
        </w:rPr>
        <w:t xml:space="preserve">Dodatkowe informacje znajdą Państwo również na </w:t>
      </w:r>
      <w:hyperlink r:id="rId40">
        <w:r w:rsidRPr="00E55C8C">
          <w:rPr>
            <w:b/>
            <w:color w:val="auto"/>
            <w:u w:val="single" w:color="008866"/>
          </w:rPr>
          <w:t>portalu OECD</w:t>
        </w:r>
      </w:hyperlink>
      <w:hyperlink r:id="rId41">
        <w:r w:rsidRPr="00E55C8C">
          <w:rPr>
            <w:b/>
            <w:color w:val="auto"/>
            <w:u w:val="single" w:color="008866"/>
          </w:rPr>
          <w:t xml:space="preserve"> </w:t>
        </w:r>
      </w:hyperlink>
      <w:hyperlink r:id="rId42">
        <w:r w:rsidRPr="00E55C8C">
          <w:rPr>
            <w:b/>
            <w:color w:val="auto"/>
            <w:u w:val="single" w:color="008866"/>
          </w:rPr>
          <w:t>Zewnętrzna strona internetowa: Link</w:t>
        </w:r>
      </w:hyperlink>
      <w:hyperlink r:id="rId43">
        <w:r w:rsidRPr="00E55C8C">
          <w:rPr>
            <w:b/>
            <w:color w:val="auto"/>
          </w:rPr>
          <w:t xml:space="preserve"> </w:t>
        </w:r>
      </w:hyperlink>
      <w:hyperlink r:id="rId44">
        <w:r w:rsidRPr="00E55C8C">
          <w:rPr>
            <w:b/>
            <w:color w:val="auto"/>
            <w:u w:val="single" w:color="008866"/>
          </w:rPr>
          <w:t>otworzy się w nowym oknie</w:t>
        </w:r>
      </w:hyperlink>
      <w:hyperlink r:id="rId45">
        <w:r w:rsidRPr="00E55C8C">
          <w:rPr>
            <w:color w:val="auto"/>
          </w:rPr>
          <w:t>.</w:t>
        </w:r>
      </w:hyperlink>
      <w:r w:rsidRPr="00E55C8C">
        <w:rPr>
          <w:color w:val="auto"/>
        </w:rPr>
        <w:t xml:space="preserve"> </w:t>
      </w:r>
    </w:p>
    <w:p w14:paraId="019C932A" w14:textId="77777777" w:rsidR="002B6E00" w:rsidRPr="00E55C8C" w:rsidRDefault="008C299B">
      <w:pPr>
        <w:spacing w:after="5" w:line="259" w:lineRule="auto"/>
        <w:ind w:left="-5"/>
        <w:jc w:val="left"/>
        <w:rPr>
          <w:color w:val="auto"/>
        </w:rPr>
      </w:pPr>
      <w:r w:rsidRPr="00E55C8C">
        <w:rPr>
          <w:b/>
          <w:color w:val="auto"/>
        </w:rPr>
        <w:t xml:space="preserve">NAJCZĘŚCIEJ ZADAWANE PYTANIA: </w:t>
      </w:r>
    </w:p>
    <w:p w14:paraId="6EC664D5" w14:textId="77777777" w:rsidR="002B6E00" w:rsidRPr="00E55C8C" w:rsidRDefault="008C299B">
      <w:pPr>
        <w:numPr>
          <w:ilvl w:val="0"/>
          <w:numId w:val="3"/>
        </w:numPr>
        <w:spacing w:after="0" w:line="259" w:lineRule="auto"/>
        <w:ind w:hanging="566"/>
        <w:jc w:val="left"/>
        <w:rPr>
          <w:color w:val="auto"/>
        </w:rPr>
      </w:pPr>
      <w:r w:rsidRPr="00E55C8C">
        <w:rPr>
          <w:b/>
          <w:color w:val="auto"/>
        </w:rPr>
        <w:t xml:space="preserve">Czym jest EURO-FATCA? </w:t>
      </w:r>
    </w:p>
    <w:p w14:paraId="4C173085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lastRenderedPageBreak/>
        <w:t xml:space="preserve">Standard automatycznej wymiany informacji w dziedzinie opodatkowania (ang. </w:t>
      </w:r>
      <w:proofErr w:type="spellStart"/>
      <w:r w:rsidRPr="00E55C8C">
        <w:rPr>
          <w:color w:val="auto"/>
        </w:rPr>
        <w:t>Common</w:t>
      </w:r>
      <w:proofErr w:type="spellEnd"/>
      <w:r w:rsidRPr="00E55C8C">
        <w:rPr>
          <w:color w:val="auto"/>
        </w:rPr>
        <w:t xml:space="preserve"> Reporting Standard, CRS), to wymóg zgłaszania i gromadzenia informacji obowiązujący instytucje finansowe na całym świecie, w tym również Banki Spółdzielcze.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ma w celu ochronę integralności systemów podatkowych oraz walkę z unikaniem opodatkowania. </w:t>
      </w:r>
    </w:p>
    <w:p w14:paraId="30AD4E56" w14:textId="77777777" w:rsidR="002B6E00" w:rsidRPr="00E55C8C" w:rsidRDefault="0062274A">
      <w:pPr>
        <w:numPr>
          <w:ilvl w:val="0"/>
          <w:numId w:val="3"/>
        </w:numPr>
        <w:spacing w:after="0" w:line="259" w:lineRule="auto"/>
        <w:ind w:hanging="566"/>
        <w:jc w:val="left"/>
        <w:rPr>
          <w:color w:val="auto"/>
        </w:rPr>
      </w:pPr>
      <w:hyperlink r:id="rId46">
        <w:r w:rsidR="008C299B" w:rsidRPr="00E55C8C">
          <w:rPr>
            <w:b/>
            <w:color w:val="auto"/>
          </w:rPr>
          <w:t>Kogo dotyczy Euro</w:t>
        </w:r>
      </w:hyperlink>
      <w:hyperlink r:id="rId47">
        <w:r w:rsidR="008C299B" w:rsidRPr="00E55C8C">
          <w:rPr>
            <w:b/>
            <w:color w:val="auto"/>
          </w:rPr>
          <w:t>-</w:t>
        </w:r>
        <w:proofErr w:type="spellStart"/>
      </w:hyperlink>
      <w:hyperlink r:id="rId48">
        <w:r w:rsidR="008C299B" w:rsidRPr="00E55C8C">
          <w:rPr>
            <w:b/>
            <w:color w:val="auto"/>
          </w:rPr>
          <w:t>Fatca</w:t>
        </w:r>
        <w:proofErr w:type="spellEnd"/>
      </w:hyperlink>
      <w:hyperlink r:id="rId49">
        <w:r w:rsidR="008C299B" w:rsidRPr="00E55C8C">
          <w:rPr>
            <w:b/>
            <w:color w:val="auto"/>
          </w:rPr>
          <w:t xml:space="preserve">? </w:t>
        </w:r>
      </w:hyperlink>
      <w:r w:rsidR="008C299B" w:rsidRPr="00E55C8C">
        <w:rPr>
          <w:b/>
          <w:color w:val="auto"/>
        </w:rPr>
        <w:t xml:space="preserve"> </w:t>
      </w:r>
    </w:p>
    <w:p w14:paraId="03A301ED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Celem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jest ustalenie rezydencji podatkowej Klientów. Zgodnie z wymogami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instytucje finansowe – w tym Banki Spółdzielcze mają obowiązek wskazania Klientów, którzy są rezydentami podatkowymi w kraju innym niż ten, w którym prowadzone są ich rachunki bankowe. Informacje te muszą następnie zostać przekazane lokalnym organom podatkowym. </w:t>
      </w:r>
    </w:p>
    <w:p w14:paraId="1F8D9BEB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50">
        <w:r w:rsidR="008C299B" w:rsidRPr="00E55C8C">
          <w:rPr>
            <w:b/>
            <w:color w:val="auto"/>
          </w:rPr>
          <w:t>Dlaczego Bank pyta mnie o mój kraj(e) rezydencji podatkowej?</w:t>
        </w:r>
      </w:hyperlink>
      <w:hyperlink r:id="rId51">
        <w:r w:rsidR="008C299B" w:rsidRPr="00E55C8C">
          <w:rPr>
            <w:b/>
            <w:color w:val="auto"/>
          </w:rPr>
          <w:t xml:space="preserve"> </w:t>
        </w:r>
      </w:hyperlink>
      <w:r w:rsidR="008C299B" w:rsidRPr="00E55C8C">
        <w:rPr>
          <w:b/>
          <w:color w:val="auto"/>
        </w:rPr>
        <w:t xml:space="preserve"> </w:t>
      </w:r>
    </w:p>
    <w:p w14:paraId="16A35067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Zgodnie z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, lokalne organy podatkowe wymagają od instytucji finansowych, w tym również od Banków Spółdzielczych, aby zbierały, a następnie raportowały informacje dotyczące statusu podatkowego swoich klientów. </w:t>
      </w:r>
    </w:p>
    <w:p w14:paraId="12504494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 xml:space="preserve">Jeśli klient będzie otwierał nowy rachunek bankowy, produkt finansowy lub dokona jakiejkolwiek zmiany swoich danych, może zostać poproszony przez Bank Spółdzielczy w Wysokiej o dostarczenie dodatkowych informacji. Zgodnie z wymogami CRS, Bank jest zobowiązany uzyskiwać takie dane od swoich klientów. Informacje, o które prosi Bank mogą zostać dostarczone przez Klientów.  Oświadczenie CRS dla Klientów Indywidualnych  lub  Oświadczenie CRS dla Podmiotów. </w:t>
      </w:r>
    </w:p>
    <w:p w14:paraId="2C63AE58" w14:textId="77777777" w:rsidR="002B6E00" w:rsidRPr="00E55C8C" w:rsidRDefault="0062274A">
      <w:pPr>
        <w:numPr>
          <w:ilvl w:val="0"/>
          <w:numId w:val="3"/>
        </w:numPr>
        <w:spacing w:after="0" w:line="259" w:lineRule="auto"/>
        <w:ind w:hanging="566"/>
        <w:jc w:val="left"/>
        <w:rPr>
          <w:color w:val="auto"/>
        </w:rPr>
      </w:pPr>
      <w:hyperlink r:id="rId52">
        <w:r w:rsidR="008C299B" w:rsidRPr="00E55C8C">
          <w:rPr>
            <w:b/>
            <w:color w:val="auto"/>
          </w:rPr>
          <w:t>Czy jest to praktyka stosowana przez wszystkie banki?</w:t>
        </w:r>
      </w:hyperlink>
      <w:hyperlink r:id="rId53">
        <w:r w:rsidR="008C299B" w:rsidRPr="00E55C8C">
          <w:rPr>
            <w:b/>
            <w:color w:val="auto"/>
          </w:rPr>
          <w:t xml:space="preserve">  </w:t>
        </w:r>
      </w:hyperlink>
    </w:p>
    <w:p w14:paraId="072431E0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Tak, wszystkie instytucje finansowe w tym wszystkie banki w Polsce mają obowiązek postępowania zgodnie z wymogami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. </w:t>
      </w:r>
    </w:p>
    <w:p w14:paraId="129A11EE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54">
        <w:r w:rsidR="008C299B" w:rsidRPr="00E55C8C">
          <w:rPr>
            <w:b/>
            <w:color w:val="auto"/>
          </w:rPr>
          <w:t xml:space="preserve">Jakie informacje Klient jest zobowiązany dostarczyć do Banku Spółdzielczego </w:t>
        </w:r>
      </w:hyperlink>
      <w:hyperlink r:id="rId55">
        <w:r w:rsidR="008C299B" w:rsidRPr="00E55C8C">
          <w:rPr>
            <w:b/>
            <w:color w:val="auto"/>
          </w:rPr>
          <w:t>w</w:t>
        </w:r>
      </w:hyperlink>
      <w:hyperlink r:id="rId56">
        <w:r w:rsidR="008C299B" w:rsidRPr="00E55C8C">
          <w:rPr>
            <w:b/>
            <w:color w:val="auto"/>
          </w:rPr>
          <w:t xml:space="preserve"> </w:t>
        </w:r>
      </w:hyperlink>
      <w:hyperlink r:id="rId57">
        <w:r w:rsidR="008C299B" w:rsidRPr="00E55C8C">
          <w:rPr>
            <w:b/>
            <w:color w:val="auto"/>
          </w:rPr>
          <w:t>Wysokiej</w:t>
        </w:r>
      </w:hyperlink>
      <w:hyperlink r:id="rId58">
        <w:r w:rsidR="008C299B" w:rsidRPr="00E55C8C">
          <w:rPr>
            <w:b/>
            <w:color w:val="auto"/>
          </w:rPr>
          <w:t xml:space="preserve">? </w:t>
        </w:r>
      </w:hyperlink>
      <w:r w:rsidR="008C299B" w:rsidRPr="00E55C8C">
        <w:rPr>
          <w:b/>
          <w:color w:val="auto"/>
        </w:rPr>
        <w:t xml:space="preserve"> </w:t>
      </w:r>
    </w:p>
    <w:p w14:paraId="3BAE89BD" w14:textId="77777777" w:rsidR="002B6E00" w:rsidRPr="00E55C8C" w:rsidRDefault="008C299B">
      <w:pPr>
        <w:numPr>
          <w:ilvl w:val="1"/>
          <w:numId w:val="3"/>
        </w:numPr>
        <w:rPr>
          <w:color w:val="auto"/>
        </w:rPr>
      </w:pPr>
      <w:r w:rsidRPr="00E55C8C">
        <w:rPr>
          <w:color w:val="auto"/>
        </w:rPr>
        <w:t xml:space="preserve">związku z wymogami CRS, Bank Spółdzielczy Wysoka poprosi o dostarczenie poniższych informacji: </w:t>
      </w:r>
      <w:r w:rsidRPr="00E55C8C">
        <w:rPr>
          <w:b/>
          <w:color w:val="auto"/>
        </w:rPr>
        <w:t xml:space="preserve">Klient Indywidualny: </w:t>
      </w:r>
    </w:p>
    <w:p w14:paraId="31E6ECEE" w14:textId="77777777" w:rsidR="002B6E00" w:rsidRPr="00E55C8C" w:rsidRDefault="008C299B">
      <w:pPr>
        <w:numPr>
          <w:ilvl w:val="1"/>
          <w:numId w:val="5"/>
        </w:numPr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imię i nazwisko; </w:t>
      </w:r>
    </w:p>
    <w:p w14:paraId="031C3511" w14:textId="77777777" w:rsidR="002B6E00" w:rsidRPr="00E55C8C" w:rsidRDefault="008C299B">
      <w:pPr>
        <w:numPr>
          <w:ilvl w:val="1"/>
          <w:numId w:val="5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aktualny adres zamieszkania; </w:t>
      </w:r>
    </w:p>
    <w:p w14:paraId="6C2C6F0A" w14:textId="77777777" w:rsidR="002B6E00" w:rsidRPr="00E55C8C" w:rsidRDefault="008C299B">
      <w:pPr>
        <w:numPr>
          <w:ilvl w:val="1"/>
          <w:numId w:val="5"/>
        </w:numPr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miejscowość i kraj urodzenia;  </w:t>
      </w:r>
    </w:p>
    <w:p w14:paraId="7FACD6BB" w14:textId="77777777" w:rsidR="002B6E00" w:rsidRPr="00E55C8C" w:rsidRDefault="008C299B">
      <w:pPr>
        <w:numPr>
          <w:ilvl w:val="1"/>
          <w:numId w:val="5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data urodzenia;  </w:t>
      </w:r>
    </w:p>
    <w:p w14:paraId="24B6BDB2" w14:textId="77777777" w:rsidR="002B6E00" w:rsidRPr="00E55C8C" w:rsidRDefault="008C299B">
      <w:pPr>
        <w:numPr>
          <w:ilvl w:val="1"/>
          <w:numId w:val="5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kraj/ kraje rezydencji podatkowej; </w:t>
      </w:r>
    </w:p>
    <w:p w14:paraId="11980F96" w14:textId="77777777" w:rsidR="002B6E00" w:rsidRPr="00E55C8C" w:rsidRDefault="008C299B">
      <w:pPr>
        <w:numPr>
          <w:ilvl w:val="1"/>
          <w:numId w:val="5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numer identyfikacji podatkowej tzw. TIN. </w:t>
      </w:r>
    </w:p>
    <w:p w14:paraId="119AB0A2" w14:textId="77777777" w:rsidR="002B6E00" w:rsidRPr="00E55C8C" w:rsidRDefault="008C299B">
      <w:pPr>
        <w:spacing w:after="11" w:line="259" w:lineRule="auto"/>
        <w:ind w:left="566" w:firstLine="0"/>
        <w:jc w:val="left"/>
        <w:rPr>
          <w:color w:val="auto"/>
        </w:rPr>
      </w:pPr>
      <w:r w:rsidRPr="00E55C8C">
        <w:rPr>
          <w:b/>
          <w:color w:val="auto"/>
        </w:rPr>
        <w:t xml:space="preserve">Klient Instytucjonalny/Podmioty prawne: </w:t>
      </w:r>
    </w:p>
    <w:p w14:paraId="7676E0BC" w14:textId="77777777" w:rsidR="002B6E00" w:rsidRPr="00E55C8C" w:rsidRDefault="008C299B">
      <w:pPr>
        <w:numPr>
          <w:ilvl w:val="1"/>
          <w:numId w:val="6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nazwa; </w:t>
      </w:r>
    </w:p>
    <w:p w14:paraId="49987ABE" w14:textId="77777777" w:rsidR="002B6E00" w:rsidRPr="00E55C8C" w:rsidRDefault="008C299B">
      <w:pPr>
        <w:numPr>
          <w:ilvl w:val="1"/>
          <w:numId w:val="6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aktualny adres siedziby (w tym kraj); </w:t>
      </w:r>
    </w:p>
    <w:p w14:paraId="79A99AF8" w14:textId="77777777" w:rsidR="002B6E00" w:rsidRPr="00E55C8C" w:rsidRDefault="008C299B">
      <w:pPr>
        <w:numPr>
          <w:ilvl w:val="1"/>
          <w:numId w:val="6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kraj/ kraje rezydencji podatkowej;  </w:t>
      </w:r>
    </w:p>
    <w:p w14:paraId="7AAB1506" w14:textId="77777777" w:rsidR="002B6E00" w:rsidRPr="00E55C8C" w:rsidRDefault="008C299B">
      <w:pPr>
        <w:numPr>
          <w:ilvl w:val="1"/>
          <w:numId w:val="6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status podmiotu; </w:t>
      </w:r>
    </w:p>
    <w:p w14:paraId="10528DFB" w14:textId="77777777" w:rsidR="002B6E00" w:rsidRPr="00E55C8C" w:rsidRDefault="008C299B">
      <w:pPr>
        <w:numPr>
          <w:ilvl w:val="1"/>
          <w:numId w:val="6"/>
        </w:numPr>
        <w:spacing w:after="19" w:line="251" w:lineRule="auto"/>
        <w:ind w:left="1117" w:hanging="566"/>
        <w:jc w:val="left"/>
        <w:rPr>
          <w:color w:val="auto"/>
        </w:rPr>
      </w:pPr>
      <w:r w:rsidRPr="00E55C8C">
        <w:rPr>
          <w:color w:val="auto"/>
        </w:rPr>
        <w:t xml:space="preserve">dane osoby kontrolującej - dane osoby fizycznej; </w:t>
      </w:r>
      <w:r w:rsidRPr="00E55C8C">
        <w:rPr>
          <w:b/>
          <w:color w:val="auto"/>
        </w:rPr>
        <w:t>6)</w:t>
      </w:r>
      <w:r w:rsidRPr="00E55C8C">
        <w:rPr>
          <w:rFonts w:ascii="Arial" w:eastAsia="Arial" w:hAnsi="Arial" w:cs="Arial"/>
          <w:b/>
          <w:color w:val="auto"/>
        </w:rPr>
        <w:t xml:space="preserve"> </w:t>
      </w:r>
      <w:r w:rsidRPr="00E55C8C">
        <w:rPr>
          <w:rFonts w:ascii="Arial" w:eastAsia="Arial" w:hAnsi="Arial" w:cs="Arial"/>
          <w:b/>
          <w:color w:val="auto"/>
        </w:rPr>
        <w:tab/>
      </w:r>
      <w:r w:rsidRPr="00E55C8C">
        <w:rPr>
          <w:color w:val="auto"/>
        </w:rPr>
        <w:t xml:space="preserve">numer identyfikacji podatkowej tzw. TIN. </w:t>
      </w:r>
    </w:p>
    <w:p w14:paraId="4A1D80F8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59">
        <w:r w:rsidR="008C299B" w:rsidRPr="00E55C8C">
          <w:rPr>
            <w:b/>
            <w:color w:val="auto"/>
          </w:rPr>
          <w:t>Jak zdefiniować, który kraj jest moim krajem rezyden</w:t>
        </w:r>
      </w:hyperlink>
      <w:hyperlink r:id="rId60">
        <w:r w:rsidR="008C299B" w:rsidRPr="00E55C8C">
          <w:rPr>
            <w:b/>
            <w:color w:val="auto"/>
          </w:rPr>
          <w:t>cji podatkowej?</w:t>
        </w:r>
      </w:hyperlink>
      <w:hyperlink r:id="rId61">
        <w:r w:rsidR="008C299B" w:rsidRPr="00E55C8C">
          <w:rPr>
            <w:b/>
            <w:color w:val="auto"/>
          </w:rPr>
          <w:t xml:space="preserve">  </w:t>
        </w:r>
      </w:hyperlink>
    </w:p>
    <w:p w14:paraId="68E97911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 xml:space="preserve">Zdefiniowanie kraju rezydencji podatkowej zależy od oceny dokonanej na podstawie ustaw podatkowych, umów międzynarodowych oraz innych okoliczności.  W przypadku pytań dotyczących Państwa </w:t>
      </w:r>
      <w:hyperlink r:id="rId62">
        <w:r w:rsidRPr="00E55C8C">
          <w:rPr>
            <w:color w:val="auto"/>
          </w:rPr>
          <w:t>kraju rezydencji</w:t>
        </w:r>
      </w:hyperlink>
      <w:hyperlink r:id="rId63">
        <w:r w:rsidRPr="00E55C8C">
          <w:rPr>
            <w:color w:val="auto"/>
          </w:rPr>
          <w:t xml:space="preserve">  </w:t>
        </w:r>
      </w:hyperlink>
      <w:hyperlink r:id="rId64">
        <w:r w:rsidRPr="00E55C8C">
          <w:rPr>
            <w:color w:val="auto"/>
          </w:rPr>
          <w:t>podatkowej</w:t>
        </w:r>
      </w:hyperlink>
      <w:hyperlink r:id="rId65">
        <w:r w:rsidRPr="00E55C8C">
          <w:rPr>
            <w:color w:val="auto"/>
          </w:rPr>
          <w:t>,</w:t>
        </w:r>
      </w:hyperlink>
      <w:r w:rsidRPr="00E55C8C">
        <w:rPr>
          <w:color w:val="auto"/>
        </w:rPr>
        <w:t xml:space="preserve"> prosimy skontaktować się z niezależnym doradcą, gdyż Bank Spółdzielczy w Wysokiej nie świadczy usług doradztwa podatkowego lub prawnego. </w:t>
      </w:r>
    </w:p>
    <w:p w14:paraId="5FD66C3F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66">
        <w:r w:rsidR="008C299B" w:rsidRPr="00E55C8C">
          <w:rPr>
            <w:b/>
            <w:color w:val="auto"/>
          </w:rPr>
          <w:t>Jak często muszę przekazywać te informacje do Banku Spółdzielczego?</w:t>
        </w:r>
      </w:hyperlink>
      <w:hyperlink r:id="rId67">
        <w:r w:rsidR="008C299B" w:rsidRPr="00E55C8C">
          <w:rPr>
            <w:b/>
            <w:color w:val="auto"/>
          </w:rPr>
          <w:t xml:space="preserve">  </w:t>
        </w:r>
      </w:hyperlink>
    </w:p>
    <w:p w14:paraId="40039C61" w14:textId="26C02094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Po otrzymaniu przez Bank Spółdzielczego w Wysok</w:t>
      </w:r>
      <w:r w:rsidR="00E55C8C" w:rsidRPr="00E55C8C">
        <w:rPr>
          <w:color w:val="auto"/>
        </w:rPr>
        <w:t>iej</w:t>
      </w:r>
      <w:r w:rsidRPr="00E55C8C">
        <w:rPr>
          <w:color w:val="auto"/>
        </w:rPr>
        <w:t xml:space="preserve"> ważnego Oświadczenia Klienta złożenie kolejnego konieczne będzie jedynie w związku z aktualizacją informacji dotyczących rachunku lub jeśli uznamy, że status wymagający raportowania w świetle przepisów CRS mógł ulec zmianie.  </w:t>
      </w:r>
    </w:p>
    <w:p w14:paraId="659319DD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68">
        <w:r w:rsidR="008C299B" w:rsidRPr="00E55C8C">
          <w:rPr>
            <w:b/>
            <w:color w:val="auto"/>
          </w:rPr>
          <w:t xml:space="preserve">Jeśli dostarczyłem wszystkie niezbędne informacje, dlaczego Bank prosi mnie o przesłanie </w:t>
        </w:r>
      </w:hyperlink>
      <w:hyperlink r:id="rId69">
        <w:r w:rsidR="008C299B" w:rsidRPr="00E55C8C">
          <w:rPr>
            <w:b/>
            <w:color w:val="auto"/>
          </w:rPr>
          <w:t>dodatkowych dokumentów?</w:t>
        </w:r>
      </w:hyperlink>
      <w:hyperlink r:id="rId70">
        <w:r w:rsidR="008C299B" w:rsidRPr="00E55C8C">
          <w:rPr>
            <w:b/>
            <w:color w:val="auto"/>
          </w:rPr>
          <w:t xml:space="preserve">  </w:t>
        </w:r>
      </w:hyperlink>
    </w:p>
    <w:p w14:paraId="57543150" w14:textId="74D0E648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 xml:space="preserve">Bank Spółdzielczy w </w:t>
      </w:r>
      <w:r w:rsidR="00E55C8C" w:rsidRPr="00E55C8C">
        <w:rPr>
          <w:color w:val="auto"/>
        </w:rPr>
        <w:t>Wysokiej</w:t>
      </w:r>
      <w:r w:rsidRPr="00E55C8C">
        <w:rPr>
          <w:color w:val="auto"/>
        </w:rPr>
        <w:t xml:space="preserve"> jest prawnie zobowiązany do zweryfikowania wszystkich informacji dostarczonych przez klienta. W celu potwierdzenia tożsamości lub zadeklarowanego kraju rezydencji podatkowej, Klient może zostać poproszony dodatkowo o dostarczenie kopii dowodu osobistego, paszportu lub innego dokumentu potwierdzającego jego rezydencję podatkową. </w:t>
      </w:r>
    </w:p>
    <w:p w14:paraId="53F4B7D5" w14:textId="77777777" w:rsidR="002B6E00" w:rsidRPr="00E55C8C" w:rsidRDefault="0062274A">
      <w:pPr>
        <w:numPr>
          <w:ilvl w:val="0"/>
          <w:numId w:val="3"/>
        </w:numPr>
        <w:spacing w:after="4" w:line="250" w:lineRule="auto"/>
        <w:ind w:hanging="566"/>
        <w:jc w:val="left"/>
        <w:rPr>
          <w:color w:val="auto"/>
        </w:rPr>
      </w:pPr>
      <w:hyperlink r:id="rId71">
        <w:r w:rsidR="008C299B" w:rsidRPr="00E55C8C">
          <w:rPr>
            <w:b/>
            <w:color w:val="auto"/>
          </w:rPr>
          <w:t>Jakie informacje zostaną przekazane do lokalnych organów podatkowych?</w:t>
        </w:r>
      </w:hyperlink>
      <w:hyperlink r:id="rId72">
        <w:r w:rsidR="008C299B" w:rsidRPr="00E55C8C">
          <w:rPr>
            <w:b/>
            <w:color w:val="auto"/>
          </w:rPr>
          <w:t xml:space="preserve">  </w:t>
        </w:r>
      </w:hyperlink>
    </w:p>
    <w:p w14:paraId="6E3D4430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lastRenderedPageBreak/>
        <w:t xml:space="preserve">Do lokalnych organów podatkowych zostaną przekazane dane dostarczone przez Klienta na formularzach: Oświadczenie CRS Klienta indywidualnego/instytucjonalnego a także informacje o rachunkach i produktach klienta, włączając w to m.in.: </w:t>
      </w:r>
    </w:p>
    <w:p w14:paraId="3F6DCF29" w14:textId="77777777" w:rsidR="002B6E00" w:rsidRPr="00E55C8C" w:rsidRDefault="008C299B">
      <w:pPr>
        <w:numPr>
          <w:ilvl w:val="1"/>
          <w:numId w:val="4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saldo rachunku lub wartość; </w:t>
      </w:r>
    </w:p>
    <w:p w14:paraId="72B13D1F" w14:textId="77777777" w:rsidR="002B6E00" w:rsidRPr="00E55C8C" w:rsidRDefault="008C299B">
      <w:pPr>
        <w:numPr>
          <w:ilvl w:val="1"/>
          <w:numId w:val="4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łączną kwotę wpłaconych odsetek lub płatności. </w:t>
      </w:r>
    </w:p>
    <w:p w14:paraId="1482B750" w14:textId="77777777" w:rsidR="002B6E00" w:rsidRPr="00E55C8C" w:rsidRDefault="0062274A">
      <w:pPr>
        <w:numPr>
          <w:ilvl w:val="0"/>
          <w:numId w:val="3"/>
        </w:numPr>
        <w:spacing w:after="0" w:line="259" w:lineRule="auto"/>
        <w:ind w:hanging="566"/>
        <w:jc w:val="left"/>
        <w:rPr>
          <w:color w:val="auto"/>
        </w:rPr>
      </w:pPr>
      <w:hyperlink r:id="rId73">
        <w:r w:rsidR="008C299B" w:rsidRPr="00E55C8C">
          <w:rPr>
            <w:b/>
            <w:color w:val="auto"/>
          </w:rPr>
          <w:t>Gdzie uzyskam dodatkowe informacje?</w:t>
        </w:r>
      </w:hyperlink>
      <w:hyperlink r:id="rId74">
        <w:r w:rsidR="008C299B" w:rsidRPr="00E55C8C">
          <w:rPr>
            <w:b/>
            <w:color w:val="auto"/>
          </w:rPr>
          <w:t xml:space="preserve">  </w:t>
        </w:r>
      </w:hyperlink>
    </w:p>
    <w:p w14:paraId="75BF4503" w14:textId="77777777" w:rsidR="002B6E00" w:rsidRPr="00E55C8C" w:rsidRDefault="008C299B">
      <w:pPr>
        <w:numPr>
          <w:ilvl w:val="1"/>
          <w:numId w:val="3"/>
        </w:numPr>
        <w:rPr>
          <w:color w:val="auto"/>
        </w:rPr>
      </w:pPr>
      <w:r w:rsidRPr="00E55C8C">
        <w:rPr>
          <w:color w:val="auto"/>
        </w:rPr>
        <w:t xml:space="preserve">przypadku pytań dotyczących CRS i Państwa sytuacji podatkowej, prosimy skontaktować się z lokalnym organem podatkowym lub niezależnym doradcą, gdyż Bank nie świadczy usług doradztwa podatkowego lub prawnego. </w:t>
      </w:r>
    </w:p>
    <w:p w14:paraId="45C772D5" w14:textId="77777777" w:rsidR="002B6E00" w:rsidRPr="00E55C8C" w:rsidRDefault="008C299B">
      <w:pPr>
        <w:spacing w:after="0" w:line="242" w:lineRule="auto"/>
        <w:ind w:left="566" w:firstLine="0"/>
        <w:jc w:val="left"/>
        <w:rPr>
          <w:color w:val="auto"/>
        </w:rPr>
      </w:pPr>
      <w:r w:rsidRPr="00E55C8C">
        <w:rPr>
          <w:color w:val="auto"/>
        </w:rPr>
        <w:t xml:space="preserve">Dodatkowe </w:t>
      </w:r>
      <w:r w:rsidRPr="00E55C8C">
        <w:rPr>
          <w:color w:val="auto"/>
        </w:rPr>
        <w:tab/>
        <w:t xml:space="preserve">informacje </w:t>
      </w:r>
      <w:r w:rsidRPr="00E55C8C">
        <w:rPr>
          <w:color w:val="auto"/>
        </w:rPr>
        <w:tab/>
        <w:t xml:space="preserve">znajdą </w:t>
      </w:r>
      <w:r w:rsidRPr="00E55C8C">
        <w:rPr>
          <w:color w:val="auto"/>
        </w:rPr>
        <w:tab/>
        <w:t xml:space="preserve">Państwo </w:t>
      </w:r>
      <w:r w:rsidRPr="00E55C8C">
        <w:rPr>
          <w:color w:val="auto"/>
        </w:rPr>
        <w:tab/>
        <w:t xml:space="preserve">również </w:t>
      </w:r>
      <w:r w:rsidRPr="00E55C8C">
        <w:rPr>
          <w:color w:val="auto"/>
        </w:rPr>
        <w:tab/>
        <w:t xml:space="preserve">na </w:t>
      </w:r>
      <w:r w:rsidRPr="00E55C8C">
        <w:rPr>
          <w:color w:val="auto"/>
        </w:rPr>
        <w:tab/>
      </w:r>
      <w:r w:rsidRPr="00E55C8C">
        <w:rPr>
          <w:b/>
          <w:color w:val="auto"/>
          <w:u w:val="single" w:color="008866"/>
        </w:rPr>
        <w:t xml:space="preserve">portalu </w:t>
      </w:r>
      <w:r w:rsidRPr="00E55C8C">
        <w:rPr>
          <w:b/>
          <w:color w:val="auto"/>
          <w:u w:val="single" w:color="008866"/>
        </w:rPr>
        <w:tab/>
        <w:t>OEC</w:t>
      </w:r>
      <w:hyperlink r:id="rId75">
        <w:r w:rsidRPr="00E55C8C">
          <w:rPr>
            <w:b/>
            <w:color w:val="auto"/>
            <w:u w:val="single" w:color="008866"/>
          </w:rPr>
          <w:t>D</w:t>
        </w:r>
      </w:hyperlink>
      <w:hyperlink r:id="rId76">
        <w:r w:rsidRPr="00E55C8C">
          <w:rPr>
            <w:b/>
            <w:color w:val="auto"/>
          </w:rPr>
          <w:t>:</w:t>
        </w:r>
      </w:hyperlink>
      <w:r w:rsidRPr="00E55C8C">
        <w:rPr>
          <w:b/>
          <w:color w:val="auto"/>
        </w:rPr>
        <w:t xml:space="preserve"> </w:t>
      </w:r>
      <w:hyperlink r:id="rId77">
        <w:r w:rsidRPr="00E55C8C">
          <w:rPr>
            <w:b/>
            <w:color w:val="auto"/>
            <w:u w:val="single" w:color="008866"/>
          </w:rPr>
          <w:t>http://www.oecd.org/tax/automatic</w:t>
        </w:r>
      </w:hyperlink>
      <w:hyperlink r:id="rId78">
        <w:r w:rsidRPr="00E55C8C">
          <w:rPr>
            <w:b/>
            <w:color w:val="auto"/>
            <w:u w:val="single" w:color="008866"/>
          </w:rPr>
          <w:t>-</w:t>
        </w:r>
      </w:hyperlink>
      <w:hyperlink r:id="rId79">
        <w:r w:rsidRPr="00E55C8C">
          <w:rPr>
            <w:b/>
            <w:color w:val="auto"/>
            <w:u w:val="single" w:color="008866"/>
          </w:rPr>
          <w:t>exchange/common</w:t>
        </w:r>
      </w:hyperlink>
      <w:hyperlink r:id="rId80">
        <w:r w:rsidRPr="00E55C8C">
          <w:rPr>
            <w:b/>
            <w:color w:val="auto"/>
            <w:u w:val="single" w:color="008866"/>
          </w:rPr>
          <w:t>-</w:t>
        </w:r>
      </w:hyperlink>
      <w:hyperlink r:id="rId81">
        <w:r w:rsidRPr="00E55C8C">
          <w:rPr>
            <w:b/>
            <w:color w:val="auto"/>
            <w:u w:val="single" w:color="008866"/>
          </w:rPr>
          <w:t>reporting</w:t>
        </w:r>
      </w:hyperlink>
      <w:hyperlink r:id="rId82">
        <w:r w:rsidRPr="00E55C8C">
          <w:rPr>
            <w:b/>
            <w:color w:val="auto"/>
            <w:u w:val="single" w:color="008866"/>
          </w:rPr>
          <w:t>-</w:t>
        </w:r>
      </w:hyperlink>
      <w:hyperlink r:id="rId83">
        <w:r w:rsidRPr="00E55C8C">
          <w:rPr>
            <w:b/>
            <w:color w:val="auto"/>
            <w:u w:val="single" w:color="008866"/>
          </w:rPr>
          <w:t>standard/</w:t>
        </w:r>
      </w:hyperlink>
      <w:hyperlink r:id="rId84">
        <w:r w:rsidRPr="00E55C8C">
          <w:rPr>
            <w:b/>
            <w:color w:val="auto"/>
            <w:u w:val="single" w:color="008866"/>
          </w:rPr>
          <w:t>.</w:t>
        </w:r>
      </w:hyperlink>
      <w:r w:rsidRPr="00E55C8C">
        <w:rPr>
          <w:b/>
          <w:color w:val="auto"/>
        </w:rPr>
        <w:t xml:space="preserve"> </w:t>
      </w:r>
    </w:p>
    <w:p w14:paraId="0F8D4134" w14:textId="77777777" w:rsidR="002B6E00" w:rsidRPr="00E55C8C" w:rsidRDefault="008C299B">
      <w:pPr>
        <w:spacing w:after="0" w:line="259" w:lineRule="auto"/>
        <w:ind w:left="0" w:firstLine="0"/>
        <w:jc w:val="left"/>
        <w:rPr>
          <w:color w:val="auto"/>
        </w:rPr>
      </w:pPr>
      <w:r w:rsidRPr="00E55C8C">
        <w:rPr>
          <w:color w:val="auto"/>
        </w:rPr>
        <w:t xml:space="preserve"> </w:t>
      </w:r>
    </w:p>
    <w:p w14:paraId="390B29FA" w14:textId="77777777" w:rsidR="002B6E00" w:rsidRPr="00E55C8C" w:rsidRDefault="008C299B">
      <w:pPr>
        <w:spacing w:after="5" w:line="259" w:lineRule="auto"/>
        <w:ind w:left="-5"/>
        <w:jc w:val="left"/>
        <w:rPr>
          <w:color w:val="auto"/>
        </w:rPr>
      </w:pPr>
      <w:r w:rsidRPr="00E55C8C">
        <w:rPr>
          <w:b/>
          <w:color w:val="auto"/>
        </w:rPr>
        <w:t xml:space="preserve">SŁOWNIK UŻYWANYCH POJĘĆ: </w:t>
      </w:r>
    </w:p>
    <w:p w14:paraId="7C563D99" w14:textId="77777777" w:rsidR="002B6E00" w:rsidRPr="00E55C8C" w:rsidRDefault="0062274A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</w:rPr>
      </w:pPr>
      <w:hyperlink r:id="rId85">
        <w:r w:rsidR="008C299B" w:rsidRPr="00E55C8C">
          <w:rPr>
            <w:b/>
            <w:color w:val="auto"/>
          </w:rPr>
          <w:t>CRS</w:t>
        </w:r>
      </w:hyperlink>
      <w:hyperlink r:id="rId86">
        <w:r w:rsidR="008C299B" w:rsidRPr="00E55C8C">
          <w:rPr>
            <w:b/>
            <w:color w:val="auto"/>
          </w:rPr>
          <w:t>:</w:t>
        </w:r>
      </w:hyperlink>
      <w:r w:rsidR="008C299B" w:rsidRPr="00E55C8C">
        <w:rPr>
          <w:b/>
          <w:color w:val="auto"/>
        </w:rPr>
        <w:t xml:space="preserve"> </w:t>
      </w:r>
    </w:p>
    <w:p w14:paraId="1386185C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 xml:space="preserve">Standard automatycznej wymiany informacji w dziedzinie opodatkowania (ang. </w:t>
      </w:r>
      <w:proofErr w:type="spellStart"/>
      <w:r w:rsidRPr="00E55C8C">
        <w:rPr>
          <w:color w:val="auto"/>
        </w:rPr>
        <w:t>Common</w:t>
      </w:r>
      <w:proofErr w:type="spellEnd"/>
      <w:r w:rsidRPr="00E55C8C">
        <w:rPr>
          <w:color w:val="auto"/>
        </w:rPr>
        <w:t xml:space="preserve"> Reporting Standard, CRS), to stosowany na skalę światową wymóg zgłaszania i zbierania informacji, obowiązujący instytucje finansowe na całym świecie, w tym również Banki Spółdzielcze, który ma na celu ochronę integralności systemów podatkowych oraz walkę z unikaniem opodatkowania.  </w:t>
      </w:r>
    </w:p>
    <w:p w14:paraId="1A614BFA" w14:textId="77777777" w:rsidR="002B6E00" w:rsidRPr="00E55C8C" w:rsidRDefault="008C299B">
      <w:pPr>
        <w:spacing w:after="264"/>
        <w:ind w:left="561"/>
        <w:rPr>
          <w:color w:val="auto"/>
        </w:rPr>
      </w:pPr>
      <w:r w:rsidRPr="00E55C8C">
        <w:rPr>
          <w:color w:val="auto"/>
        </w:rPr>
        <w:t xml:space="preserve">Działając w świetle przepisów CRS, Bank jest zobowiązany określić, gdzie jego klienci powinni płacić podatki (co często wiąże się z określeniem ich rezydencji podatkowej). Jeśli klient jest rezydentem podatkowym poza krajem, w którym prowadzone są jego rachunki bankowe, Bank przekaże taką informację do właściwych organów podatkowych. Organy podatkowe mogą następnie wymieniać taką informację z organami podatkowymi kraju, którego rezydentem podatkowym jest dany klient. </w:t>
      </w:r>
    </w:p>
    <w:p w14:paraId="21AC8565" w14:textId="77777777" w:rsidR="002B6E00" w:rsidRPr="00E55C8C" w:rsidRDefault="008C299B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</w:rPr>
      </w:pPr>
      <w:r w:rsidRPr="00E55C8C">
        <w:rPr>
          <w:b/>
          <w:color w:val="auto"/>
        </w:rPr>
        <w:t xml:space="preserve">Klient Indywidualny: </w:t>
      </w:r>
    </w:p>
    <w:p w14:paraId="728649C8" w14:textId="77777777" w:rsidR="002B6E00" w:rsidRPr="00E55C8C" w:rsidRDefault="008C299B">
      <w:pPr>
        <w:spacing w:after="263"/>
        <w:ind w:left="561"/>
        <w:rPr>
          <w:color w:val="auto"/>
        </w:rPr>
      </w:pPr>
      <w:r w:rsidRPr="00E55C8C">
        <w:rPr>
          <w:color w:val="auto"/>
        </w:rPr>
        <w:t xml:space="preserve">Osoba fizyczna nieprowadząca (w tym osoba fizyczna o ograniczonej zdolności do czynności prawnych), jak i prowadząca działalność gospodarczą; rolnik wykonujący indywidualnie działalność rolniczą (jedna osoba fizyczna niezależnie od roli, w której występuje) </w:t>
      </w:r>
    </w:p>
    <w:p w14:paraId="24C9728C" w14:textId="77777777" w:rsidR="002B6E00" w:rsidRPr="00E55C8C" w:rsidRDefault="0062274A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</w:rPr>
      </w:pPr>
      <w:hyperlink r:id="rId87">
        <w:r w:rsidR="008C299B" w:rsidRPr="00E55C8C">
          <w:rPr>
            <w:b/>
            <w:color w:val="auto"/>
          </w:rPr>
          <w:t>Podmiot</w:t>
        </w:r>
      </w:hyperlink>
      <w:hyperlink r:id="rId88">
        <w:r w:rsidR="008C299B" w:rsidRPr="00E55C8C">
          <w:rPr>
            <w:b/>
            <w:color w:val="auto"/>
          </w:rPr>
          <w:t>:</w:t>
        </w:r>
      </w:hyperlink>
      <w:r w:rsidR="008C299B" w:rsidRPr="00E55C8C">
        <w:rPr>
          <w:color w:val="auto"/>
        </w:rPr>
        <w:t xml:space="preserve"> </w:t>
      </w:r>
      <w:r w:rsidR="008C299B" w:rsidRPr="00E55C8C">
        <w:rPr>
          <w:b/>
          <w:color w:val="auto"/>
        </w:rPr>
        <w:t xml:space="preserve"> </w:t>
      </w:r>
    </w:p>
    <w:p w14:paraId="5F3C261F" w14:textId="77777777" w:rsidR="002B6E00" w:rsidRPr="00E55C8C" w:rsidRDefault="008C299B">
      <w:pPr>
        <w:spacing w:after="264"/>
        <w:ind w:left="561"/>
        <w:rPr>
          <w:color w:val="auto"/>
        </w:rPr>
      </w:pPr>
      <w:r w:rsidRPr="00E55C8C">
        <w:rPr>
          <w:color w:val="auto"/>
        </w:rPr>
        <w:t>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definiuje Podmioty jako osoby prawne lub podmioty mające osobowość prawną, czyli takie jak: spółka kapitałowa, organizacja, spółka osobowa, trust lub fundacja. Definicja ta obejmuje więc klientów Banku Spółdzielczego posiadających rachunki, produkty biznesowe lub korzystających z usług biznesowych Banku. Termin ten nie obejmuje natomiast podmiotów prowadzących jednoosobową działalność gospodarczą lub rolników, gdyż w świetle przepisów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traktuje się je jak osoby fizyczne. </w:t>
      </w:r>
    </w:p>
    <w:p w14:paraId="218F551F" w14:textId="77777777" w:rsidR="002B6E00" w:rsidRPr="00E55C8C" w:rsidRDefault="0062274A">
      <w:pPr>
        <w:numPr>
          <w:ilvl w:val="0"/>
          <w:numId w:val="7"/>
        </w:numPr>
        <w:spacing w:after="4" w:line="250" w:lineRule="auto"/>
        <w:ind w:hanging="566"/>
        <w:jc w:val="left"/>
        <w:rPr>
          <w:color w:val="auto"/>
        </w:rPr>
      </w:pPr>
      <w:hyperlink r:id="rId89">
        <w:r w:rsidR="008C299B" w:rsidRPr="00E55C8C">
          <w:rPr>
            <w:b/>
            <w:color w:val="auto"/>
          </w:rPr>
          <w:t xml:space="preserve">Organizacja Współpracy Gospodarczej i Rozwoju (ang. OECD): </w:t>
        </w:r>
      </w:hyperlink>
      <w:hyperlink r:id="rId90">
        <w:r w:rsidR="008C299B" w:rsidRPr="00E55C8C">
          <w:rPr>
            <w:b/>
            <w:color w:val="auto"/>
          </w:rPr>
          <w:t xml:space="preserve"> </w:t>
        </w:r>
      </w:hyperlink>
    </w:p>
    <w:p w14:paraId="12C14248" w14:textId="77777777" w:rsidR="002B6E00" w:rsidRPr="00E55C8C" w:rsidRDefault="008C299B">
      <w:pPr>
        <w:spacing w:after="264"/>
        <w:ind w:left="561"/>
        <w:rPr>
          <w:color w:val="auto"/>
        </w:rPr>
      </w:pPr>
      <w:r w:rsidRPr="00E55C8C">
        <w:rPr>
          <w:color w:val="auto"/>
        </w:rPr>
        <w:t xml:space="preserve">Organizacja Współpracy Gospodarczej i Rozwoju (ang. </w:t>
      </w:r>
      <w:proofErr w:type="spellStart"/>
      <w:r w:rsidRPr="00E55C8C">
        <w:rPr>
          <w:color w:val="auto"/>
        </w:rPr>
        <w:t>Organisation</w:t>
      </w:r>
      <w:proofErr w:type="spellEnd"/>
      <w:r w:rsidRPr="00E55C8C">
        <w:rPr>
          <w:color w:val="auto"/>
        </w:rPr>
        <w:t xml:space="preserve"> for </w:t>
      </w:r>
      <w:proofErr w:type="spellStart"/>
      <w:r w:rsidRPr="00E55C8C">
        <w:rPr>
          <w:color w:val="auto"/>
        </w:rPr>
        <w:t>Economic</w:t>
      </w:r>
      <w:proofErr w:type="spellEnd"/>
      <w:r w:rsidRPr="00E55C8C">
        <w:rPr>
          <w:color w:val="auto"/>
        </w:rPr>
        <w:t xml:space="preserve"> Co-</w:t>
      </w:r>
      <w:proofErr w:type="spellStart"/>
      <w:r w:rsidRPr="00E55C8C">
        <w:rPr>
          <w:color w:val="auto"/>
        </w:rPr>
        <w:t>operation</w:t>
      </w:r>
      <w:proofErr w:type="spellEnd"/>
      <w:r w:rsidRPr="00E55C8C">
        <w:rPr>
          <w:color w:val="auto"/>
        </w:rPr>
        <w:t xml:space="preserve"> and Development, OECD) to organizacja międzynarodowa skupiająca 34 państwa członkowskie, Komisję Europejską oraz Brazylię, Chiny, Indie, Indonezję i Afrykę Południową jako stałych gości.  </w:t>
      </w:r>
    </w:p>
    <w:p w14:paraId="1B188A97" w14:textId="77777777" w:rsidR="002B6E00" w:rsidRPr="00E55C8C" w:rsidRDefault="0062274A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</w:rPr>
      </w:pPr>
      <w:hyperlink r:id="rId91">
        <w:r w:rsidR="008C299B" w:rsidRPr="00E55C8C">
          <w:rPr>
            <w:b/>
            <w:color w:val="auto"/>
          </w:rPr>
          <w:t>Rezydencja podatkowa</w:t>
        </w:r>
      </w:hyperlink>
      <w:hyperlink r:id="rId92">
        <w:r w:rsidR="008C299B" w:rsidRPr="00E55C8C">
          <w:rPr>
            <w:b/>
            <w:color w:val="auto"/>
          </w:rPr>
          <w:t>:</w:t>
        </w:r>
      </w:hyperlink>
      <w:r w:rsidR="008C299B" w:rsidRPr="00E55C8C">
        <w:rPr>
          <w:b/>
          <w:color w:val="auto"/>
        </w:rPr>
        <w:t xml:space="preserve"> </w:t>
      </w:r>
    </w:p>
    <w:p w14:paraId="178992CF" w14:textId="77777777" w:rsidR="002B6E00" w:rsidRPr="00E55C8C" w:rsidRDefault="008C299B">
      <w:pPr>
        <w:spacing w:after="263"/>
        <w:ind w:left="561"/>
        <w:rPr>
          <w:color w:val="auto"/>
        </w:rPr>
      </w:pPr>
      <w:r w:rsidRPr="00E55C8C">
        <w:rPr>
          <w:color w:val="auto"/>
        </w:rPr>
        <w:t xml:space="preserve">Jurysdykcja lub państwo, w którym klient jest rezydentem/gdzie jest zarejestrowany dla celów podatkowych. Każdy kraj kieruje się własnymi zasadami przy ustalaniu rezydencji podatkowej. Aby uzyskać więcej informacji odnośnie Państwa rezydencji podatkowej prosimy skontaktować się z niezależnym doradcą, gdyż Bank Spółdzielczy w …………. nie świadczy usług doradztwa podatkowego lub prawnego. Dodatkowe informacje znajdą Państwo również na </w:t>
      </w:r>
      <w:hyperlink r:id="rId93">
        <w:r w:rsidRPr="00E55C8C">
          <w:rPr>
            <w:color w:val="auto"/>
          </w:rPr>
          <w:t>portalu OECD AEOI</w:t>
        </w:r>
      </w:hyperlink>
      <w:hyperlink r:id="rId94">
        <w:r w:rsidRPr="00E55C8C">
          <w:rPr>
            <w:color w:val="auto"/>
          </w:rPr>
          <w:t>.</w:t>
        </w:r>
      </w:hyperlink>
      <w:r w:rsidRPr="00E55C8C">
        <w:rPr>
          <w:color w:val="auto"/>
        </w:rPr>
        <w:t xml:space="preserve">  </w:t>
      </w:r>
    </w:p>
    <w:p w14:paraId="13D1BB69" w14:textId="77777777" w:rsidR="002B6E00" w:rsidRPr="00E55C8C" w:rsidRDefault="0062274A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  <w:lang w:val="en-US"/>
        </w:rPr>
      </w:pPr>
      <w:r>
        <w:fldChar w:fldCharType="begin"/>
      </w:r>
      <w:r w:rsidRPr="0062274A">
        <w:rPr>
          <w:lang w:val="en-US"/>
        </w:rPr>
        <w:instrText>HYPERLINK "http://www.crs.hsbc.com/pl-pl/cmb/poland/glossary" \h</w:instrText>
      </w:r>
      <w:r>
        <w:fldChar w:fldCharType="separate"/>
      </w:r>
      <w:r w:rsidR="008C299B" w:rsidRPr="00E55C8C">
        <w:rPr>
          <w:b/>
          <w:color w:val="auto"/>
          <w:lang w:val="en-US"/>
        </w:rPr>
        <w:t>TIN (ang. Tax Identification Number)</w:t>
      </w:r>
      <w:r>
        <w:rPr>
          <w:b/>
          <w:color w:val="auto"/>
          <w:lang w:val="en-US"/>
        </w:rPr>
        <w:fldChar w:fldCharType="end"/>
      </w:r>
      <w:r>
        <w:fldChar w:fldCharType="begin"/>
      </w:r>
      <w:r w:rsidRPr="0062274A">
        <w:rPr>
          <w:lang w:val="en-US"/>
        </w:rPr>
        <w:instrText>HYPERLINK "http://www.crs.hsbc.com/pl-pl/cmb/poland/glossary" \h</w:instrText>
      </w:r>
      <w:r>
        <w:fldChar w:fldCharType="separate"/>
      </w:r>
      <w:r w:rsidR="008C299B" w:rsidRPr="00E55C8C">
        <w:rPr>
          <w:b/>
          <w:color w:val="auto"/>
          <w:lang w:val="en-US"/>
        </w:rPr>
        <w:t>:</w:t>
      </w:r>
      <w:r>
        <w:rPr>
          <w:b/>
          <w:color w:val="auto"/>
          <w:lang w:val="en-US"/>
        </w:rPr>
        <w:fldChar w:fldCharType="end"/>
      </w:r>
      <w:r w:rsidR="008C299B" w:rsidRPr="00E55C8C">
        <w:rPr>
          <w:b/>
          <w:color w:val="auto"/>
          <w:lang w:val="en-US"/>
        </w:rPr>
        <w:t xml:space="preserve">  </w:t>
      </w:r>
    </w:p>
    <w:p w14:paraId="700F6510" w14:textId="77777777" w:rsidR="002B6E00" w:rsidRPr="00E55C8C" w:rsidRDefault="008C299B">
      <w:pPr>
        <w:spacing w:after="261"/>
        <w:ind w:left="561"/>
        <w:rPr>
          <w:color w:val="auto"/>
        </w:rPr>
      </w:pPr>
      <w:r w:rsidRPr="00E55C8C">
        <w:rPr>
          <w:color w:val="auto"/>
        </w:rPr>
        <w:t xml:space="preserve">TIN to numer identyfikacji podatkowej, składający się z unikalnej kombinacji liter lub cyfr, przypisanej przedsiębiorstwom. W niektórych państwach zamiast TIN stosuje się inny przypisany numer, np. numer ubezpieczenia społecznego. </w:t>
      </w:r>
    </w:p>
    <w:p w14:paraId="19A50050" w14:textId="77777777" w:rsidR="002B6E00" w:rsidRPr="00E55C8C" w:rsidRDefault="008C299B">
      <w:pPr>
        <w:numPr>
          <w:ilvl w:val="0"/>
          <w:numId w:val="7"/>
        </w:numPr>
        <w:spacing w:after="4" w:line="250" w:lineRule="auto"/>
        <w:ind w:hanging="566"/>
        <w:jc w:val="left"/>
        <w:rPr>
          <w:color w:val="auto"/>
        </w:rPr>
      </w:pPr>
      <w:r w:rsidRPr="00E55C8C">
        <w:rPr>
          <w:b/>
          <w:color w:val="auto"/>
        </w:rPr>
        <w:t xml:space="preserve">Oświadczenia </w:t>
      </w:r>
    </w:p>
    <w:p w14:paraId="6A09CD4F" w14:textId="77777777" w:rsidR="002B6E00" w:rsidRPr="00E55C8C" w:rsidRDefault="008C299B">
      <w:pPr>
        <w:spacing w:after="264"/>
        <w:ind w:left="561"/>
        <w:rPr>
          <w:color w:val="auto"/>
        </w:rPr>
      </w:pPr>
      <w:r w:rsidRPr="00E55C8C">
        <w:rPr>
          <w:color w:val="auto"/>
        </w:rPr>
        <w:lastRenderedPageBreak/>
        <w:t>Oświadczenia to formularze, które służą klientom do określenia swojego statusu rezydencji podatkowej zgodnie z wymogami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>. Dokładne informacje dotyczące tych formularzy znajdują się pod linkami Oświadczenia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dla Klientów Indywidualnych oraz Oświadczenia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 dla Podmiotów. </w:t>
      </w:r>
    </w:p>
    <w:p w14:paraId="15163E25" w14:textId="77777777" w:rsidR="002B6E00" w:rsidRPr="00E55C8C" w:rsidRDefault="008C299B">
      <w:pPr>
        <w:numPr>
          <w:ilvl w:val="0"/>
          <w:numId w:val="7"/>
        </w:numPr>
        <w:spacing w:after="4" w:line="250" w:lineRule="auto"/>
        <w:ind w:hanging="566"/>
        <w:jc w:val="left"/>
        <w:rPr>
          <w:color w:val="auto"/>
        </w:rPr>
      </w:pPr>
      <w:r w:rsidRPr="00E55C8C">
        <w:rPr>
          <w:b/>
          <w:color w:val="auto"/>
        </w:rPr>
        <w:t>Dochód pasywny</w:t>
      </w:r>
      <w:r w:rsidRPr="00E55C8C">
        <w:rPr>
          <w:color w:val="auto"/>
        </w:rPr>
        <w:t xml:space="preserve"> </w:t>
      </w:r>
    </w:p>
    <w:p w14:paraId="115AE13E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Na potrzeby Euro-</w:t>
      </w:r>
      <w:proofErr w:type="spellStart"/>
      <w:r w:rsidRPr="00E55C8C">
        <w:rPr>
          <w:color w:val="auto"/>
        </w:rPr>
        <w:t>Fatca</w:t>
      </w:r>
      <w:proofErr w:type="spellEnd"/>
      <w:r w:rsidRPr="00E55C8C">
        <w:rPr>
          <w:color w:val="auto"/>
        </w:rPr>
        <w:t xml:space="preserve">, dochód pasywny* ogólnie uważa się za obejmujący część dochodu brutto, na który składają się: </w:t>
      </w:r>
    </w:p>
    <w:p w14:paraId="667FCC28" w14:textId="77777777" w:rsidR="002B6E00" w:rsidRPr="00E55C8C" w:rsidRDefault="008C299B">
      <w:pPr>
        <w:numPr>
          <w:ilvl w:val="1"/>
          <w:numId w:val="7"/>
        </w:numPr>
        <w:spacing w:after="19" w:line="251" w:lineRule="auto"/>
        <w:ind w:left="1117" w:hanging="566"/>
        <w:rPr>
          <w:color w:val="auto"/>
        </w:rPr>
      </w:pPr>
      <w:r w:rsidRPr="00E55C8C">
        <w:rPr>
          <w:color w:val="auto"/>
        </w:rPr>
        <w:t xml:space="preserve">dywidendy </w:t>
      </w:r>
    </w:p>
    <w:p w14:paraId="4FC8030E" w14:textId="77777777" w:rsidR="002B6E00" w:rsidRPr="00E55C8C" w:rsidRDefault="008C299B">
      <w:pPr>
        <w:numPr>
          <w:ilvl w:val="1"/>
          <w:numId w:val="7"/>
        </w:numPr>
        <w:spacing w:after="19" w:line="251" w:lineRule="auto"/>
        <w:ind w:left="1117" w:hanging="566"/>
        <w:rPr>
          <w:color w:val="auto"/>
        </w:rPr>
      </w:pPr>
      <w:r w:rsidRPr="00E55C8C">
        <w:rPr>
          <w:color w:val="auto"/>
        </w:rPr>
        <w:t xml:space="preserve">odsetki </w:t>
      </w:r>
    </w:p>
    <w:p w14:paraId="472A18D6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dochód równoważny z odsetkami </w:t>
      </w:r>
    </w:p>
    <w:p w14:paraId="3507A109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opłaty eksploatacyjne i czynsze inne niż opłaty eksploatacyjne i czynsze uzyskiwane w ramach aktywnego prowadzenia działalności, przynajmniej w części, przez pracowników NFE** </w:t>
      </w:r>
    </w:p>
    <w:p w14:paraId="00B9A134" w14:textId="77777777" w:rsidR="002B6E00" w:rsidRPr="00E55C8C" w:rsidRDefault="008C299B">
      <w:pPr>
        <w:numPr>
          <w:ilvl w:val="1"/>
          <w:numId w:val="7"/>
        </w:numPr>
        <w:spacing w:after="19" w:line="251" w:lineRule="auto"/>
        <w:ind w:left="1117" w:hanging="566"/>
        <w:rPr>
          <w:color w:val="auto"/>
        </w:rPr>
      </w:pPr>
      <w:r w:rsidRPr="00E55C8C">
        <w:rPr>
          <w:color w:val="auto"/>
        </w:rPr>
        <w:t xml:space="preserve">ubezpieczenia rentowe </w:t>
      </w:r>
    </w:p>
    <w:p w14:paraId="6C69ED94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nadwyżki z tytułu dodatnich różnic wynikających ze sprzedaży lub z wymiany aktywów finansowych, dających podstawę do powstania dochodu pasywnego opisanego powyżej </w:t>
      </w:r>
    </w:p>
    <w:p w14:paraId="36CC2E9E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nadwyżki z tytułu dodatnich różnic wynikających z transakcji (w tym transakcji typu </w:t>
      </w:r>
      <w:proofErr w:type="spellStart"/>
      <w:r w:rsidRPr="00E55C8C">
        <w:rPr>
          <w:color w:val="auto"/>
        </w:rPr>
        <w:t>futures</w:t>
      </w:r>
      <w:proofErr w:type="spellEnd"/>
      <w:r w:rsidRPr="00E55C8C">
        <w:rPr>
          <w:color w:val="auto"/>
        </w:rPr>
        <w:t xml:space="preserve">, </w:t>
      </w:r>
      <w:proofErr w:type="spellStart"/>
      <w:r w:rsidRPr="00E55C8C">
        <w:rPr>
          <w:color w:val="auto"/>
        </w:rPr>
        <w:t>forwards</w:t>
      </w:r>
      <w:proofErr w:type="spellEnd"/>
      <w:r w:rsidRPr="00E55C8C">
        <w:rPr>
          <w:color w:val="auto"/>
        </w:rPr>
        <w:t xml:space="preserve">, opcji itp.) obejmujących dowolne aktywa finansowe </w:t>
      </w:r>
    </w:p>
    <w:p w14:paraId="52253F56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nadwyżki z tytułu dodatnich różnic kursowych </w:t>
      </w:r>
    </w:p>
    <w:p w14:paraId="79FB9B35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dochód netto ze </w:t>
      </w:r>
      <w:proofErr w:type="spellStart"/>
      <w:r w:rsidRPr="00E55C8C">
        <w:rPr>
          <w:color w:val="auto"/>
        </w:rPr>
        <w:t>swapów</w:t>
      </w:r>
      <w:proofErr w:type="spellEnd"/>
      <w:r w:rsidRPr="00E55C8C">
        <w:rPr>
          <w:color w:val="auto"/>
        </w:rPr>
        <w:t xml:space="preserve"> </w:t>
      </w:r>
    </w:p>
    <w:p w14:paraId="447E3FB5" w14:textId="77777777" w:rsidR="002B6E00" w:rsidRPr="00E55C8C" w:rsidRDefault="008C299B">
      <w:pPr>
        <w:numPr>
          <w:ilvl w:val="1"/>
          <w:numId w:val="7"/>
        </w:numPr>
        <w:ind w:left="1117" w:hanging="566"/>
        <w:rPr>
          <w:color w:val="auto"/>
        </w:rPr>
      </w:pPr>
      <w:r w:rsidRPr="00E55C8C">
        <w:rPr>
          <w:color w:val="auto"/>
        </w:rPr>
        <w:t xml:space="preserve">kwoty otrzymane na podstawie umów ubezpieczenia wartości pieniężnych </w:t>
      </w:r>
    </w:p>
    <w:p w14:paraId="3A5EDB8B" w14:textId="77777777" w:rsidR="002B6E00" w:rsidRPr="00E55C8C" w:rsidRDefault="008C299B">
      <w:pPr>
        <w:spacing w:after="0" w:line="259" w:lineRule="auto"/>
        <w:ind w:left="1133" w:firstLine="0"/>
        <w:jc w:val="left"/>
        <w:rPr>
          <w:color w:val="auto"/>
        </w:rPr>
      </w:pPr>
      <w:r w:rsidRPr="00E55C8C">
        <w:rPr>
          <w:color w:val="auto"/>
        </w:rPr>
        <w:t xml:space="preserve"> </w:t>
      </w:r>
    </w:p>
    <w:p w14:paraId="641946B3" w14:textId="77777777" w:rsidR="002B6E00" w:rsidRPr="00E55C8C" w:rsidRDefault="008C299B">
      <w:pPr>
        <w:spacing w:after="284"/>
        <w:ind w:left="576"/>
        <w:rPr>
          <w:color w:val="auto"/>
        </w:rPr>
      </w:pPr>
      <w:r w:rsidRPr="00E55C8C">
        <w:rPr>
          <w:color w:val="auto"/>
          <w:sz w:val="18"/>
        </w:rPr>
        <w:t xml:space="preserve">* W przypadku NFE działającego zazwyczaj jako dealer aktywów finansowych, dochód pasywny nie obejmuje wszelkich dochodów z transakcji zawartych w ramach normalnej działalności takiego dealera. ** Termin NFE oznacza jakikolwiek podmiot, który nie jest instytucją finansową. </w:t>
      </w:r>
    </w:p>
    <w:p w14:paraId="38BA2DC0" w14:textId="77777777" w:rsidR="002B6E00" w:rsidRPr="00E55C8C" w:rsidRDefault="0062274A">
      <w:pPr>
        <w:numPr>
          <w:ilvl w:val="0"/>
          <w:numId w:val="7"/>
        </w:numPr>
        <w:spacing w:after="0" w:line="259" w:lineRule="auto"/>
        <w:ind w:hanging="566"/>
        <w:jc w:val="left"/>
        <w:rPr>
          <w:color w:val="auto"/>
        </w:rPr>
      </w:pPr>
      <w:hyperlink r:id="rId95">
        <w:r w:rsidR="008C299B" w:rsidRPr="00E55C8C">
          <w:rPr>
            <w:b/>
            <w:color w:val="auto"/>
          </w:rPr>
          <w:t>Automatyczna wymiana informacji</w:t>
        </w:r>
      </w:hyperlink>
      <w:hyperlink r:id="rId96">
        <w:r w:rsidR="008C299B" w:rsidRPr="00E55C8C">
          <w:rPr>
            <w:b/>
            <w:color w:val="auto"/>
          </w:rPr>
          <w:t xml:space="preserve">  </w:t>
        </w:r>
      </w:hyperlink>
    </w:p>
    <w:p w14:paraId="5979E7BB" w14:textId="77777777" w:rsidR="002B6E00" w:rsidRPr="00E55C8C" w:rsidRDefault="008C299B">
      <w:pPr>
        <w:spacing w:after="261"/>
        <w:ind w:left="561"/>
        <w:rPr>
          <w:color w:val="auto"/>
        </w:rPr>
      </w:pPr>
      <w:r w:rsidRPr="00E55C8C">
        <w:rPr>
          <w:color w:val="auto"/>
        </w:rPr>
        <w:t xml:space="preserve">Automatyczna wymiana informacji (ang. The Automatic Exchange of Information, AEOI) jest praktykowana przez rządy krajów na całym świecie, aby jeszcze skuteczniej i na szerszą skalę przeciwdziałać uchylaniu się od obowiązku płacenia podatków. Stanowi ona podstawę do automatycznej wymiany informacji o zagranicznych klientach – rezydentach podatkowych – prowadzonej między właściwymi organami podatkowymi. </w:t>
      </w:r>
    </w:p>
    <w:p w14:paraId="34BBC7A0" w14:textId="77777777" w:rsidR="002B6E00" w:rsidRPr="00E55C8C" w:rsidRDefault="0062274A">
      <w:pPr>
        <w:numPr>
          <w:ilvl w:val="0"/>
          <w:numId w:val="7"/>
        </w:numPr>
        <w:spacing w:after="4" w:line="250" w:lineRule="auto"/>
        <w:ind w:hanging="566"/>
        <w:jc w:val="left"/>
        <w:rPr>
          <w:color w:val="auto"/>
        </w:rPr>
      </w:pPr>
      <w:hyperlink r:id="rId97">
        <w:r w:rsidR="008C299B" w:rsidRPr="00E55C8C">
          <w:rPr>
            <w:b/>
            <w:color w:val="auto"/>
          </w:rPr>
          <w:t>Osoba Kontrolująca</w:t>
        </w:r>
      </w:hyperlink>
      <w:hyperlink r:id="rId98">
        <w:r w:rsidR="008C299B" w:rsidRPr="00E55C8C">
          <w:rPr>
            <w:b/>
            <w:color w:val="auto"/>
          </w:rPr>
          <w:t xml:space="preserve">  </w:t>
        </w:r>
      </w:hyperlink>
    </w:p>
    <w:p w14:paraId="22E62509" w14:textId="77777777" w:rsidR="002B6E00" w:rsidRPr="00E55C8C" w:rsidRDefault="008C299B">
      <w:pPr>
        <w:ind w:left="561"/>
        <w:rPr>
          <w:color w:val="auto"/>
        </w:rPr>
      </w:pPr>
      <w:r w:rsidRPr="00E55C8C">
        <w:rPr>
          <w:color w:val="auto"/>
        </w:rPr>
        <w:t>Osoba fizyczna posiadająca kontrolne udziały własnościowe w danym podmiocie. W przypadku, gdy żadna osoba fizyczna nie sprawuje kontroli na podstawie udziałów własnościowych, Osobą Kontrolującą podmiot będzie osoba fizyczna sprawująca kontrolę nad podmiotem w inny sposób. W przypadku trustu termin Osoba Kontrolująca oznacza ustanawiającego(-</w:t>
      </w:r>
      <w:proofErr w:type="spellStart"/>
      <w:r w:rsidRPr="00E55C8C">
        <w:rPr>
          <w:color w:val="auto"/>
        </w:rPr>
        <w:t>ych</w:t>
      </w:r>
      <w:proofErr w:type="spellEnd"/>
      <w:r w:rsidRPr="00E55C8C">
        <w:rPr>
          <w:color w:val="auto"/>
        </w:rPr>
        <w:t>), powiernika(-ów), sprawującego(-</w:t>
      </w:r>
      <w:proofErr w:type="spellStart"/>
      <w:r w:rsidRPr="00E55C8C">
        <w:rPr>
          <w:color w:val="auto"/>
        </w:rPr>
        <w:t>ych</w:t>
      </w:r>
      <w:proofErr w:type="spellEnd"/>
      <w:r w:rsidRPr="00E55C8C">
        <w:rPr>
          <w:color w:val="auto"/>
        </w:rPr>
        <w:t xml:space="preserve">) nadzór (o ile tacy są), beneficjenta(-ów) lub klasę(-y) beneficjentów oraz wszelkie inne osoby fizyczne sprawujące ostateczną faktyczną kontrolę nad trustem. </w:t>
      </w:r>
    </w:p>
    <w:p w14:paraId="722790ED" w14:textId="77777777" w:rsidR="002B6E00" w:rsidRPr="00E55C8C" w:rsidRDefault="008C299B">
      <w:pPr>
        <w:spacing w:after="0" w:line="259" w:lineRule="auto"/>
        <w:ind w:left="0" w:firstLine="0"/>
        <w:jc w:val="left"/>
        <w:rPr>
          <w:color w:val="auto"/>
        </w:rPr>
      </w:pPr>
      <w:r w:rsidRPr="00E55C8C">
        <w:rPr>
          <w:color w:val="auto"/>
        </w:rPr>
        <w:t xml:space="preserve"> </w:t>
      </w:r>
    </w:p>
    <w:sectPr w:rsidR="002B6E00" w:rsidRPr="00E55C8C">
      <w:footerReference w:type="even" r:id="rId99"/>
      <w:footerReference w:type="default" r:id="rId100"/>
      <w:footerReference w:type="first" r:id="rId101"/>
      <w:pgSz w:w="11906" w:h="16838"/>
      <w:pgMar w:top="746" w:right="1414" w:bottom="175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08C7" w14:textId="77777777" w:rsidR="008C299B" w:rsidRDefault="008C299B">
      <w:pPr>
        <w:spacing w:after="0" w:line="240" w:lineRule="auto"/>
      </w:pPr>
      <w:r>
        <w:separator/>
      </w:r>
    </w:p>
  </w:endnote>
  <w:endnote w:type="continuationSeparator" w:id="0">
    <w:p w14:paraId="50EBF98D" w14:textId="77777777" w:rsidR="008C299B" w:rsidRDefault="008C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9DA" w14:textId="77777777" w:rsidR="002B6E00" w:rsidRDefault="008C299B">
    <w:pPr>
      <w:spacing w:after="0" w:line="259" w:lineRule="auto"/>
      <w:ind w:left="-1416" w:right="1049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5B2710" wp14:editId="50F68ADF">
              <wp:simplePos x="0" y="0"/>
              <wp:positionH relativeFrom="page">
                <wp:posOffset>0</wp:posOffset>
              </wp:positionH>
              <wp:positionV relativeFrom="page">
                <wp:posOffset>9864496</wp:posOffset>
              </wp:positionV>
              <wp:extent cx="6894195" cy="504825"/>
              <wp:effectExtent l="0" t="0" r="0" b="0"/>
              <wp:wrapSquare wrapText="bothSides"/>
              <wp:docPr id="7631" name="Group 7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195" cy="504825"/>
                        <a:chOff x="0" y="0"/>
                        <a:chExt cx="6894195" cy="504825"/>
                      </a:xfrm>
                    </wpg:grpSpPr>
                    <wps:wsp>
                      <wps:cNvPr id="7634" name="Rectangle 7634"/>
                      <wps:cNvSpPr/>
                      <wps:spPr>
                        <a:xfrm>
                          <a:off x="6661150" y="183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F797BA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35" name="Rectangle 7635"/>
                      <wps:cNvSpPr/>
                      <wps:spPr>
                        <a:xfrm>
                          <a:off x="6571234" y="197028"/>
                          <a:ext cx="120235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6F5B20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8866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8866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36" name="Rectangle 7636"/>
                      <wps:cNvSpPr/>
                      <wps:spPr>
                        <a:xfrm>
                          <a:off x="6661150" y="197028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A9B0C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08866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32" name="Shape 7632"/>
                      <wps:cNvSpPr/>
                      <wps:spPr>
                        <a:xfrm>
                          <a:off x="6389370" y="0"/>
                          <a:ext cx="504825" cy="504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25" h="504825">
                              <a:moveTo>
                                <a:pt x="0" y="252413"/>
                              </a:moveTo>
                              <a:cubicBezTo>
                                <a:pt x="0" y="113017"/>
                                <a:pt x="113030" y="0"/>
                                <a:pt x="252476" y="0"/>
                              </a:cubicBezTo>
                              <a:cubicBezTo>
                                <a:pt x="391795" y="0"/>
                                <a:pt x="504825" y="113017"/>
                                <a:pt x="504825" y="252413"/>
                              </a:cubicBezTo>
                              <a:cubicBezTo>
                                <a:pt x="504825" y="391820"/>
                                <a:pt x="391795" y="504825"/>
                                <a:pt x="252476" y="504825"/>
                              </a:cubicBezTo>
                              <a:cubicBezTo>
                                <a:pt x="113030" y="504825"/>
                                <a:pt x="0" y="391820"/>
                                <a:pt x="0" y="252413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1">
                          <a:srgbClr val="0088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0" y="282295"/>
                          <a:ext cx="6396355" cy="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355" h="528">
                              <a:moveTo>
                                <a:pt x="0" y="528"/>
                              </a:moveTo>
                              <a:lnTo>
                                <a:pt x="6396355" y="0"/>
                              </a:lnTo>
                            </a:path>
                          </a:pathLst>
                        </a:custGeom>
                        <a:ln w="12700" cap="flat"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1">
                          <a:srgbClr val="0088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31" style="width:542.85pt;height:39.75pt;position:absolute;mso-position-horizontal-relative:page;mso-position-horizontal:absolute;margin-left:0pt;mso-position-vertical-relative:page;margin-top:776.732pt;" coordsize="68941,5048">
              <v:rect id="Rectangle 7634" style="position:absolute;width:421;height:1899;left:66611;top:1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635" style="position:absolute;width:1202;height:2415;left:65712;top:197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color w:val="008866"/>
                            <w:sz w:val="28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7636" style="position:absolute;width:535;height:2415;left:66611;top:197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008866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7632" style="position:absolute;width:5048;height:5048;left:63893;top:0;" coordsize="504825,504825" path="m0,252413c0,113017,113030,0,252476,0c391795,0,504825,113017,504825,252413c504825,391820,391795,504825,252476,504825c113030,504825,0,391820,0,252413x">
                <v:stroke weight="1pt" endcap="flat" dashstyle="4 3" joinstyle="round" on="true" color="#008866"/>
                <v:fill on="false" color="#000000" opacity="0"/>
              </v:shape>
              <v:shape id="Shape 7633" style="position:absolute;width:63963;height:5;left:0;top:2822;" coordsize="6396355,528" path="m0,528l6396355,0">
                <v:stroke weight="1pt" endcap="flat" dashstyle="4 3" joinstyle="round" on="true" color="#008866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F1E" w14:textId="77777777" w:rsidR="002B6E00" w:rsidRDefault="008C299B">
    <w:pPr>
      <w:spacing w:after="0" w:line="259" w:lineRule="auto"/>
      <w:ind w:left="-1416" w:right="1049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3A62CF" wp14:editId="63ED51D9">
              <wp:simplePos x="0" y="0"/>
              <wp:positionH relativeFrom="page">
                <wp:posOffset>0</wp:posOffset>
              </wp:positionH>
              <wp:positionV relativeFrom="page">
                <wp:posOffset>9864496</wp:posOffset>
              </wp:positionV>
              <wp:extent cx="6894195" cy="504825"/>
              <wp:effectExtent l="0" t="0" r="0" b="0"/>
              <wp:wrapSquare wrapText="bothSides"/>
              <wp:docPr id="7621" name="Group 7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195" cy="504825"/>
                        <a:chOff x="0" y="0"/>
                        <a:chExt cx="6894195" cy="504825"/>
                      </a:xfrm>
                    </wpg:grpSpPr>
                    <wps:wsp>
                      <wps:cNvPr id="7624" name="Rectangle 7624"/>
                      <wps:cNvSpPr/>
                      <wps:spPr>
                        <a:xfrm>
                          <a:off x="6661150" y="183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1A506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5" name="Rectangle 7625"/>
                      <wps:cNvSpPr/>
                      <wps:spPr>
                        <a:xfrm>
                          <a:off x="6571234" y="197028"/>
                          <a:ext cx="120235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FA8873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8866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8866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6" name="Rectangle 7626"/>
                      <wps:cNvSpPr/>
                      <wps:spPr>
                        <a:xfrm>
                          <a:off x="6661150" y="197028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B7916" w14:textId="77777777" w:rsidR="002B6E00" w:rsidRDefault="008C29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08866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2" name="Shape 7622"/>
                      <wps:cNvSpPr/>
                      <wps:spPr>
                        <a:xfrm>
                          <a:off x="6389370" y="0"/>
                          <a:ext cx="504825" cy="504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25" h="504825">
                              <a:moveTo>
                                <a:pt x="0" y="252413"/>
                              </a:moveTo>
                              <a:cubicBezTo>
                                <a:pt x="0" y="113017"/>
                                <a:pt x="113030" y="0"/>
                                <a:pt x="252476" y="0"/>
                              </a:cubicBezTo>
                              <a:cubicBezTo>
                                <a:pt x="391795" y="0"/>
                                <a:pt x="504825" y="113017"/>
                                <a:pt x="504825" y="252413"/>
                              </a:cubicBezTo>
                              <a:cubicBezTo>
                                <a:pt x="504825" y="391820"/>
                                <a:pt x="391795" y="504825"/>
                                <a:pt x="252476" y="504825"/>
                              </a:cubicBezTo>
                              <a:cubicBezTo>
                                <a:pt x="113030" y="504825"/>
                                <a:pt x="0" y="391820"/>
                                <a:pt x="0" y="252413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1">
                          <a:srgbClr val="0088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0" y="282295"/>
                          <a:ext cx="6396355" cy="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355" h="528">
                              <a:moveTo>
                                <a:pt x="0" y="528"/>
                              </a:moveTo>
                              <a:lnTo>
                                <a:pt x="6396355" y="0"/>
                              </a:lnTo>
                            </a:path>
                          </a:pathLst>
                        </a:custGeom>
                        <a:ln w="12700" cap="flat"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1">
                          <a:srgbClr val="0088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21" style="width:542.85pt;height:39.75pt;position:absolute;mso-position-horizontal-relative:page;mso-position-horizontal:absolute;margin-left:0pt;mso-position-vertical-relative:page;margin-top:776.732pt;" coordsize="68941,5048">
              <v:rect id="Rectangle 7624" style="position:absolute;width:421;height:1899;left:66611;top:1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625" style="position:absolute;width:1202;height:2415;left:65712;top:197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color w:val="008866"/>
                            <w:sz w:val="28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7626" style="position:absolute;width:535;height:2415;left:66611;top:197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008866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7622" style="position:absolute;width:5048;height:5048;left:63893;top:0;" coordsize="504825,504825" path="m0,252413c0,113017,113030,0,252476,0c391795,0,504825,113017,504825,252413c504825,391820,391795,504825,252476,504825c113030,504825,0,391820,0,252413x">
                <v:stroke weight="1pt" endcap="flat" dashstyle="4 3" joinstyle="round" on="true" color="#008866"/>
                <v:fill on="false" color="#000000" opacity="0"/>
              </v:shape>
              <v:shape id="Shape 7623" style="position:absolute;width:63963;height:5;left:0;top:2822;" coordsize="6396355,528" path="m0,528l6396355,0">
                <v:stroke weight="1pt" endcap="flat" dashstyle="4 3" joinstyle="round" on="true" color="#008866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719" w14:textId="77777777" w:rsidR="002B6E00" w:rsidRDefault="002B6E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DC0E" w14:textId="77777777" w:rsidR="008C299B" w:rsidRDefault="008C299B">
      <w:pPr>
        <w:spacing w:after="0" w:line="240" w:lineRule="auto"/>
      </w:pPr>
      <w:r>
        <w:separator/>
      </w:r>
    </w:p>
  </w:footnote>
  <w:footnote w:type="continuationSeparator" w:id="0">
    <w:p w14:paraId="5E3A750B" w14:textId="77777777" w:rsidR="008C299B" w:rsidRDefault="008C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46A"/>
    <w:multiLevelType w:val="hybridMultilevel"/>
    <w:tmpl w:val="77987BC0"/>
    <w:lvl w:ilvl="0" w:tplc="12F0DA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4A63A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CB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ACC1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475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07C7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80F34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E9A1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B612D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E5ECB"/>
    <w:multiLevelType w:val="hybridMultilevel"/>
    <w:tmpl w:val="DCE28374"/>
    <w:lvl w:ilvl="0" w:tplc="76E48DF2">
      <w:start w:val="1"/>
      <w:numFmt w:val="decimal"/>
      <w:lvlText w:val="%1)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E4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A14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C7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214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273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E99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F88E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A65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F125B"/>
    <w:multiLevelType w:val="hybridMultilevel"/>
    <w:tmpl w:val="B0C2A020"/>
    <w:lvl w:ilvl="0" w:tplc="65D8A4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EB9FC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680C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0785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8467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0732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CAC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EF72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40C8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0F25"/>
    <w:multiLevelType w:val="hybridMultilevel"/>
    <w:tmpl w:val="7BE8F376"/>
    <w:lvl w:ilvl="0" w:tplc="79263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41A0E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815C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86C7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E7CA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EA0F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CE82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687F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6E7C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D4595"/>
    <w:multiLevelType w:val="hybridMultilevel"/>
    <w:tmpl w:val="6DFCB6A6"/>
    <w:lvl w:ilvl="0" w:tplc="A85ED05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E7154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007A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491F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6282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48CC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84E3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EAC4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0E32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4B0F90"/>
    <w:multiLevelType w:val="hybridMultilevel"/>
    <w:tmpl w:val="931AE2CA"/>
    <w:lvl w:ilvl="0" w:tplc="E32CC7CC">
      <w:start w:val="1"/>
      <w:numFmt w:val="lowerLetter"/>
      <w:lvlText w:val="%1)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C61F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8F40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8A8B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0AB6A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39BA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0A20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EE2B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8209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27246C"/>
    <w:multiLevelType w:val="hybridMultilevel"/>
    <w:tmpl w:val="E0E2EF38"/>
    <w:lvl w:ilvl="0" w:tplc="C72455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0B56E">
      <w:start w:val="23"/>
      <w:numFmt w:val="upperLetter"/>
      <w:lvlText w:val="%2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A6D0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A1AA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745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2389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89CC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4E60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4724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670588">
    <w:abstractNumId w:val="5"/>
  </w:num>
  <w:num w:numId="2" w16cid:durableId="1753315754">
    <w:abstractNumId w:val="1"/>
  </w:num>
  <w:num w:numId="3" w16cid:durableId="1407725479">
    <w:abstractNumId w:val="6"/>
  </w:num>
  <w:num w:numId="4" w16cid:durableId="236135178">
    <w:abstractNumId w:val="2"/>
  </w:num>
  <w:num w:numId="5" w16cid:durableId="1600408796">
    <w:abstractNumId w:val="3"/>
  </w:num>
  <w:num w:numId="6" w16cid:durableId="1661036541">
    <w:abstractNumId w:val="0"/>
  </w:num>
  <w:num w:numId="7" w16cid:durableId="1133213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00"/>
    <w:rsid w:val="001D15FE"/>
    <w:rsid w:val="002B6E00"/>
    <w:rsid w:val="0062274A"/>
    <w:rsid w:val="008C299B"/>
    <w:rsid w:val="00E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3ABC"/>
  <w15:docId w15:val="{34FB422B-E7A9-44EF-91AB-2606904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4" w:line="275" w:lineRule="auto"/>
      <w:ind w:left="3670" w:hanging="3056"/>
      <w:outlineLvl w:val="0"/>
    </w:pPr>
    <w:rPr>
      <w:rFonts w:ascii="Calibri" w:eastAsia="Calibri" w:hAnsi="Calibri" w:cs="Calibri"/>
      <w:b/>
      <w:color w:val="00886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88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s.hsbc.com/~/media/crs/pdfs/poland/crs-e_entities_self_cert_form-poland-polish.pdf?la=pl-pl" TargetMode="External"/><Relationship Id="rId21" Type="http://schemas.openxmlformats.org/officeDocument/2006/relationships/hyperlink" Target="http://www.crs.hsbc.com/~/media/crs/pdfs/poland/crs-e_entities_self_cert_form-poland-polish.pdf?la=pl-pl" TargetMode="External"/><Relationship Id="rId42" Type="http://schemas.openxmlformats.org/officeDocument/2006/relationships/hyperlink" Target="http://www.oecd.org/tax/automatic-exchange/common-reporting-standard/" TargetMode="External"/><Relationship Id="rId47" Type="http://schemas.openxmlformats.org/officeDocument/2006/relationships/hyperlink" Target="http://www.crs.hsbc.com/pl-pl/cmb/poland/frequently-asked-questions" TargetMode="External"/><Relationship Id="rId63" Type="http://schemas.openxmlformats.org/officeDocument/2006/relationships/hyperlink" Target="http://www.oecd.org/tax/automatic-exchange/crs-implementation-and-assistance/tax-residency/" TargetMode="External"/><Relationship Id="rId68" Type="http://schemas.openxmlformats.org/officeDocument/2006/relationships/hyperlink" Target="http://www.crs.hsbc.com/pl-pl/cmb/poland/frequently-asked-questions" TargetMode="External"/><Relationship Id="rId84" Type="http://schemas.openxmlformats.org/officeDocument/2006/relationships/hyperlink" Target="http://www.oecd.org/tax/automatic-exchange/common-reporting-standard/" TargetMode="External"/><Relationship Id="rId89" Type="http://schemas.openxmlformats.org/officeDocument/2006/relationships/hyperlink" Target="http://www.crs.hsbc.com/pl-pl/cmb/poland/glossary" TargetMode="External"/><Relationship Id="rId16" Type="http://schemas.openxmlformats.org/officeDocument/2006/relationships/hyperlink" Target="http://www.crs.hsbc.com/~/media/crs/pdfs/poland/crs-e_entities_self_cert_form-poland-polish.pdf?la=pl-pl" TargetMode="External"/><Relationship Id="rId11" Type="http://schemas.openxmlformats.org/officeDocument/2006/relationships/hyperlink" Target="http://eur-lex.europa.eu/legal-content/PL/TXT/PDF/?uri=OJ:L:2014:359:FULL&amp;from=PL" TargetMode="External"/><Relationship Id="rId32" Type="http://schemas.openxmlformats.org/officeDocument/2006/relationships/hyperlink" Target="http://www.crs.hsbc.com/~/media/crs/pdfs/poland/crs-e_entities_self_cert_form-poland-polish.pdf?la=pl-pl" TargetMode="External"/><Relationship Id="rId37" Type="http://schemas.openxmlformats.org/officeDocument/2006/relationships/hyperlink" Target="http://www.crs.hsbc.com/pl-pl/cmb/poland/glossary" TargetMode="External"/><Relationship Id="rId53" Type="http://schemas.openxmlformats.org/officeDocument/2006/relationships/hyperlink" Target="http://www.crs.hsbc.com/pl-pl/cmb/poland/frequently-asked-questions" TargetMode="External"/><Relationship Id="rId58" Type="http://schemas.openxmlformats.org/officeDocument/2006/relationships/hyperlink" Target="http://www.crs.hsbc.com/pl-pl/cmb/poland/frequently-asked-questions" TargetMode="External"/><Relationship Id="rId74" Type="http://schemas.openxmlformats.org/officeDocument/2006/relationships/hyperlink" Target="http://www.crs.hsbc.com/pl-pl/cmb/poland/frequently-asked-questions" TargetMode="External"/><Relationship Id="rId79" Type="http://schemas.openxmlformats.org/officeDocument/2006/relationships/hyperlink" Target="http://www.oecd.org/tax/automatic-exchange/common-reporting-standard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crs.hsbc.com/pl-pl/cmb/poland/glossary" TargetMode="External"/><Relationship Id="rId95" Type="http://schemas.openxmlformats.org/officeDocument/2006/relationships/hyperlink" Target="http://www.crs.hsbc.com/pl-pl/cmb/poland/glossary" TargetMode="External"/><Relationship Id="rId22" Type="http://schemas.openxmlformats.org/officeDocument/2006/relationships/hyperlink" Target="http://www.crs.hsbc.com/~/media/crs/pdfs/poland/crs-e_entities_self_cert_form-poland-polish.pdf?la=pl-pl" TargetMode="External"/><Relationship Id="rId27" Type="http://schemas.openxmlformats.org/officeDocument/2006/relationships/hyperlink" Target="http://www.crs.hsbc.com/~/media/crs/pdfs/poland/crs-e_entities_self_cert_form-poland-polish.pdf?la=pl-pl" TargetMode="External"/><Relationship Id="rId43" Type="http://schemas.openxmlformats.org/officeDocument/2006/relationships/hyperlink" Target="http://www.oecd.org/tax/automatic-exchange/common-reporting-standard/" TargetMode="External"/><Relationship Id="rId48" Type="http://schemas.openxmlformats.org/officeDocument/2006/relationships/hyperlink" Target="http://www.crs.hsbc.com/pl-pl/cmb/poland/frequently-asked-questions" TargetMode="External"/><Relationship Id="rId64" Type="http://schemas.openxmlformats.org/officeDocument/2006/relationships/hyperlink" Target="http://www.oecd.org/tax/automatic-exchange/crs-implementation-and-assistance/tax-residency/" TargetMode="External"/><Relationship Id="rId69" Type="http://schemas.openxmlformats.org/officeDocument/2006/relationships/hyperlink" Target="http://www.crs.hsbc.com/pl-pl/cmb/poland/frequently-asked-questions" TargetMode="External"/><Relationship Id="rId80" Type="http://schemas.openxmlformats.org/officeDocument/2006/relationships/hyperlink" Target="http://www.oecd.org/tax/automatic-exchange/common-reporting-standard/" TargetMode="External"/><Relationship Id="rId85" Type="http://schemas.openxmlformats.org/officeDocument/2006/relationships/hyperlink" Target="http://www.crs.hsbc.com/pl-pl/cmb/poland/glossary" TargetMode="External"/><Relationship Id="rId12" Type="http://schemas.openxmlformats.org/officeDocument/2006/relationships/hyperlink" Target="http://eur-lex.europa.eu/legal-content/PL/TXT/PDF/?uri=OJ:L:2014:359:FULL&amp;from=PL" TargetMode="External"/><Relationship Id="rId17" Type="http://schemas.openxmlformats.org/officeDocument/2006/relationships/hyperlink" Target="http://www.crs.hsbc.com/~/media/crs/pdfs/poland/crs-e_entities_self_cert_form-poland-polish.pdf?la=pl-pl" TargetMode="External"/><Relationship Id="rId25" Type="http://schemas.openxmlformats.org/officeDocument/2006/relationships/hyperlink" Target="http://www.crs.hsbc.com/~/media/crs/pdfs/poland/crs-e_entities_self_cert_form-poland-polish.pdf?la=pl-pl" TargetMode="External"/><Relationship Id="rId33" Type="http://schemas.openxmlformats.org/officeDocument/2006/relationships/hyperlink" Target="http://www.crs.hsbc.com/~/media/crs/pdfs/poland/crs-cp_self_cert_form-poland-polish.pdf?la=pl-pl" TargetMode="External"/><Relationship Id="rId38" Type="http://schemas.openxmlformats.org/officeDocument/2006/relationships/hyperlink" Target="http://www.crs.hsbc.com/pl-pl/cmb/poland/glossary" TargetMode="External"/><Relationship Id="rId46" Type="http://schemas.openxmlformats.org/officeDocument/2006/relationships/hyperlink" Target="http://www.crs.hsbc.com/pl-pl/cmb/poland/frequently-asked-questions" TargetMode="External"/><Relationship Id="rId59" Type="http://schemas.openxmlformats.org/officeDocument/2006/relationships/hyperlink" Target="http://www.crs.hsbc.com/pl-pl/cmb/poland/frequently-asked-questions" TargetMode="External"/><Relationship Id="rId67" Type="http://schemas.openxmlformats.org/officeDocument/2006/relationships/hyperlink" Target="http://www.crs.hsbc.com/pl-pl/cmb/poland/frequently-asked-questions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rs.hsbc.com/~/media/crs/pdfs/poland/crs-e_entities_self_cert_form-poland-polish.pdf?la=pl-pl" TargetMode="External"/><Relationship Id="rId41" Type="http://schemas.openxmlformats.org/officeDocument/2006/relationships/hyperlink" Target="http://www.oecd.org/tax/automatic-exchange/common-reporting-standard/" TargetMode="External"/><Relationship Id="rId54" Type="http://schemas.openxmlformats.org/officeDocument/2006/relationships/hyperlink" Target="http://www.crs.hsbc.com/pl-pl/cmb/poland/frequently-asked-questions" TargetMode="External"/><Relationship Id="rId62" Type="http://schemas.openxmlformats.org/officeDocument/2006/relationships/hyperlink" Target="http://www.oecd.org/tax/automatic-exchange/crs-implementation-and-assistance/tax-residency/" TargetMode="External"/><Relationship Id="rId70" Type="http://schemas.openxmlformats.org/officeDocument/2006/relationships/hyperlink" Target="http://www.crs.hsbc.com/pl-pl/cmb/poland/frequently-asked-questions" TargetMode="External"/><Relationship Id="rId75" Type="http://schemas.openxmlformats.org/officeDocument/2006/relationships/hyperlink" Target="http://www.oecd.org/tax/automatic-exchange/" TargetMode="External"/><Relationship Id="rId83" Type="http://schemas.openxmlformats.org/officeDocument/2006/relationships/hyperlink" Target="http://www.oecd.org/tax/automatic-exchange/common-reporting-standard/" TargetMode="External"/><Relationship Id="rId88" Type="http://schemas.openxmlformats.org/officeDocument/2006/relationships/hyperlink" Target="http://www.crs.hsbc.com/pl-pl/cmb/poland/glossary" TargetMode="External"/><Relationship Id="rId91" Type="http://schemas.openxmlformats.org/officeDocument/2006/relationships/hyperlink" Target="http://www.crs.hsbc.com/pl-pl/cmb/poland/glossary" TargetMode="External"/><Relationship Id="rId96" Type="http://schemas.openxmlformats.org/officeDocument/2006/relationships/hyperlink" Target="http://www.crs.hsbc.com/pl-pl/cmb/poland/gloss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rs.hsbc.com/~/media/crs/pdfs/poland/crs-e_entities_self_cert_form-poland-polish.pdf?la=pl-pl" TargetMode="External"/><Relationship Id="rId23" Type="http://schemas.openxmlformats.org/officeDocument/2006/relationships/hyperlink" Target="http://www.crs.hsbc.com/~/media/crs/pdfs/poland/crs-e_entities_self_cert_form-poland-polish.pdf?la=pl-pl" TargetMode="External"/><Relationship Id="rId28" Type="http://schemas.openxmlformats.org/officeDocument/2006/relationships/hyperlink" Target="http://www.crs.hsbc.com/~/media/crs/pdfs/poland/crs-e_entities_self_cert_form-poland-polish.pdf?la=pl-pl" TargetMode="External"/><Relationship Id="rId36" Type="http://schemas.openxmlformats.org/officeDocument/2006/relationships/hyperlink" Target="http://www.crs.hsbc.com/pl-pl/cmb/poland/glossary" TargetMode="External"/><Relationship Id="rId49" Type="http://schemas.openxmlformats.org/officeDocument/2006/relationships/hyperlink" Target="http://www.crs.hsbc.com/pl-pl/cmb/poland/frequently-asked-questions" TargetMode="External"/><Relationship Id="rId57" Type="http://schemas.openxmlformats.org/officeDocument/2006/relationships/hyperlink" Target="http://www.crs.hsbc.com/pl-pl/cmb/poland/frequently-asked-questions" TargetMode="External"/><Relationship Id="rId10" Type="http://schemas.openxmlformats.org/officeDocument/2006/relationships/hyperlink" Target="http://eur-lex.europa.eu/legal-content/PL/TXT/PDF/?uri=OJ:L:2014:359:FULL&amp;from=PL" TargetMode="External"/><Relationship Id="rId31" Type="http://schemas.openxmlformats.org/officeDocument/2006/relationships/hyperlink" Target="http://www.crs.hsbc.com/~/media/crs/pdfs/poland/crs-e_entities_self_cert_form-poland-polish.pdf?la=pl-pl" TargetMode="External"/><Relationship Id="rId44" Type="http://schemas.openxmlformats.org/officeDocument/2006/relationships/hyperlink" Target="http://www.oecd.org/tax/automatic-exchange/common-reporting-standard/" TargetMode="External"/><Relationship Id="rId52" Type="http://schemas.openxmlformats.org/officeDocument/2006/relationships/hyperlink" Target="http://www.crs.hsbc.com/pl-pl/cmb/poland/frequently-asked-questions" TargetMode="External"/><Relationship Id="rId60" Type="http://schemas.openxmlformats.org/officeDocument/2006/relationships/hyperlink" Target="http://www.crs.hsbc.com/pl-pl/cmb/poland/frequently-asked-questions" TargetMode="External"/><Relationship Id="rId65" Type="http://schemas.openxmlformats.org/officeDocument/2006/relationships/hyperlink" Target="http://www.oecd.org/tax/automatic-exchange/crs-implementation-and-assistance/tax-residency/" TargetMode="External"/><Relationship Id="rId73" Type="http://schemas.openxmlformats.org/officeDocument/2006/relationships/hyperlink" Target="http://www.crs.hsbc.com/pl-pl/cmb/poland/frequently-asked-questions" TargetMode="External"/><Relationship Id="rId78" Type="http://schemas.openxmlformats.org/officeDocument/2006/relationships/hyperlink" Target="http://www.oecd.org/tax/automatic-exchange/common-reporting-standard/" TargetMode="External"/><Relationship Id="rId81" Type="http://schemas.openxmlformats.org/officeDocument/2006/relationships/hyperlink" Target="http://www.oecd.org/tax/automatic-exchange/common-reporting-standard/" TargetMode="External"/><Relationship Id="rId86" Type="http://schemas.openxmlformats.org/officeDocument/2006/relationships/hyperlink" Target="http://www.crs.hsbc.com/pl-pl/cmb/poland/glossary" TargetMode="External"/><Relationship Id="rId94" Type="http://schemas.openxmlformats.org/officeDocument/2006/relationships/hyperlink" Target="http://www.oecd.org/tax/automatic-exchange/crs-implementation-and-assistance/tax-residency/" TargetMode="External"/><Relationship Id="rId99" Type="http://schemas.openxmlformats.org/officeDocument/2006/relationships/footer" Target="footer1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PL/TXT/PDF/?uri=OJ:L:2014:359:FULL&amp;from=PL" TargetMode="External"/><Relationship Id="rId13" Type="http://schemas.openxmlformats.org/officeDocument/2006/relationships/hyperlink" Target="http://dziennikustaw.gov.pl/DU/2017/648" TargetMode="External"/><Relationship Id="rId18" Type="http://schemas.openxmlformats.org/officeDocument/2006/relationships/hyperlink" Target="http://www.crs.hsbc.com/~/media/crs/pdfs/poland/crs-e_entities_self_cert_form-poland-polish.pdf?la=pl-pl" TargetMode="External"/><Relationship Id="rId39" Type="http://schemas.openxmlformats.org/officeDocument/2006/relationships/hyperlink" Target="http://www.crs.hsbc.com/pl-pl/cmb/poland/glossary" TargetMode="External"/><Relationship Id="rId34" Type="http://schemas.openxmlformats.org/officeDocument/2006/relationships/hyperlink" Target="http://www.crs.hsbc.com/~/media/crs/pdfs/poland/crs-cp_self_cert_form-poland-polish.pdf?la=pl-pl" TargetMode="External"/><Relationship Id="rId50" Type="http://schemas.openxmlformats.org/officeDocument/2006/relationships/hyperlink" Target="http://www.crs.hsbc.com/pl-pl/cmb/poland/frequently-asked-questions" TargetMode="External"/><Relationship Id="rId55" Type="http://schemas.openxmlformats.org/officeDocument/2006/relationships/hyperlink" Target="http://www.crs.hsbc.com/pl-pl/cmb/poland/frequently-asked-questions" TargetMode="External"/><Relationship Id="rId76" Type="http://schemas.openxmlformats.org/officeDocument/2006/relationships/hyperlink" Target="http://www.oecd.org/tax/automatic-exchange/" TargetMode="External"/><Relationship Id="rId97" Type="http://schemas.openxmlformats.org/officeDocument/2006/relationships/hyperlink" Target="http://www.crs.hsbc.com/pl-pl/cmb/poland/glossary" TargetMode="External"/><Relationship Id="rId7" Type="http://schemas.openxmlformats.org/officeDocument/2006/relationships/hyperlink" Target="http://eur-lex.europa.eu/legal-content/PL/TXT/PDF/?uri=OJ:L:2014:359:FULL&amp;from=PL" TargetMode="External"/><Relationship Id="rId71" Type="http://schemas.openxmlformats.org/officeDocument/2006/relationships/hyperlink" Target="http://www.crs.hsbc.com/pl-pl/cmb/poland/frequently-asked-questions" TargetMode="External"/><Relationship Id="rId92" Type="http://schemas.openxmlformats.org/officeDocument/2006/relationships/hyperlink" Target="http://www.crs.hsbc.com/pl-pl/cmb/poland/glossary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rs.hsbc.com/~/media/crs/pdfs/poland/crs-e_entities_self_cert_form-poland-polish.pdf?la=pl-pl" TargetMode="External"/><Relationship Id="rId24" Type="http://schemas.openxmlformats.org/officeDocument/2006/relationships/hyperlink" Target="http://www.crs.hsbc.com/~/media/crs/pdfs/poland/crs-e_entities_self_cert_form-poland-polish.pdf?la=pl-pl" TargetMode="External"/><Relationship Id="rId40" Type="http://schemas.openxmlformats.org/officeDocument/2006/relationships/hyperlink" Target="http://www.oecd.org/tax/automatic-exchange/common-reporting-standard/" TargetMode="External"/><Relationship Id="rId45" Type="http://schemas.openxmlformats.org/officeDocument/2006/relationships/hyperlink" Target="http://www.oecd.org/tax/automatic-exchange/common-reporting-standard/" TargetMode="External"/><Relationship Id="rId66" Type="http://schemas.openxmlformats.org/officeDocument/2006/relationships/hyperlink" Target="http://www.crs.hsbc.com/pl-pl/cmb/poland/frequently-asked-questions" TargetMode="External"/><Relationship Id="rId87" Type="http://schemas.openxmlformats.org/officeDocument/2006/relationships/hyperlink" Target="http://www.crs.hsbc.com/pl-pl/cmb/poland/glossary" TargetMode="External"/><Relationship Id="rId61" Type="http://schemas.openxmlformats.org/officeDocument/2006/relationships/hyperlink" Target="http://www.crs.hsbc.com/pl-pl/cmb/poland/frequently-asked-questions" TargetMode="External"/><Relationship Id="rId82" Type="http://schemas.openxmlformats.org/officeDocument/2006/relationships/hyperlink" Target="http://www.oecd.org/tax/automatic-exchange/common-reporting-standard/" TargetMode="External"/><Relationship Id="rId19" Type="http://schemas.openxmlformats.org/officeDocument/2006/relationships/hyperlink" Target="http://www.crs.hsbc.com/~/media/crs/pdfs/poland/crs-e_entities_self_cert_form-poland-polish.pdf?la=pl-pl" TargetMode="External"/><Relationship Id="rId14" Type="http://schemas.openxmlformats.org/officeDocument/2006/relationships/hyperlink" Target="http://dziennikustaw.gov.pl/DU/2017/648" TargetMode="External"/><Relationship Id="rId30" Type="http://schemas.openxmlformats.org/officeDocument/2006/relationships/hyperlink" Target="http://www.crs.hsbc.com/~/media/crs/pdfs/poland/crs-e_entities_self_cert_form-poland-polish.pdf?la=pl-pl" TargetMode="External"/><Relationship Id="rId35" Type="http://schemas.openxmlformats.org/officeDocument/2006/relationships/hyperlink" Target="http://www.crs.hsbc.com/pl-pl/cmb/poland/glossary" TargetMode="External"/><Relationship Id="rId56" Type="http://schemas.openxmlformats.org/officeDocument/2006/relationships/hyperlink" Target="http://www.crs.hsbc.com/pl-pl/cmb/poland/frequently-asked-questions" TargetMode="External"/><Relationship Id="rId77" Type="http://schemas.openxmlformats.org/officeDocument/2006/relationships/hyperlink" Target="http://www.oecd.org/tax/automatic-exchange/common-reporting-standard/" TargetMode="External"/><Relationship Id="rId100" Type="http://schemas.openxmlformats.org/officeDocument/2006/relationships/footer" Target="footer2.xml"/><Relationship Id="rId8" Type="http://schemas.openxmlformats.org/officeDocument/2006/relationships/hyperlink" Target="http://eur-lex.europa.eu/legal-content/PL/TXT/PDF/?uri=OJ:L:2014:359:FULL&amp;from=PL" TargetMode="External"/><Relationship Id="rId51" Type="http://schemas.openxmlformats.org/officeDocument/2006/relationships/hyperlink" Target="http://www.crs.hsbc.com/pl-pl/cmb/poland/frequently-asked-questions" TargetMode="External"/><Relationship Id="rId72" Type="http://schemas.openxmlformats.org/officeDocument/2006/relationships/hyperlink" Target="http://www.crs.hsbc.com/pl-pl/cmb/poland/frequently-asked-questions" TargetMode="External"/><Relationship Id="rId93" Type="http://schemas.openxmlformats.org/officeDocument/2006/relationships/hyperlink" Target="http://www.oecd.org/tax/automatic-exchange/crs-implementation-and-assistance/tax-residency/" TargetMode="External"/><Relationship Id="rId98" Type="http://schemas.openxmlformats.org/officeDocument/2006/relationships/hyperlink" Target="http://www.crs.hsbc.com/pl-pl/cmb/poland/glossa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3178</Words>
  <Characters>19068</Characters>
  <Application>Microsoft Office Word</Application>
  <DocSecurity>0</DocSecurity>
  <Lines>158</Lines>
  <Paragraphs>44</Paragraphs>
  <ScaleCrop>false</ScaleCrop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Rogowski</dc:creator>
  <cp:keywords/>
  <cp:lastModifiedBy>Patrycja Nabywaniec</cp:lastModifiedBy>
  <cp:revision>2</cp:revision>
  <dcterms:created xsi:type="dcterms:W3CDTF">2023-12-22T13:39:00Z</dcterms:created>
  <dcterms:modified xsi:type="dcterms:W3CDTF">2023-12-22T13:39:00Z</dcterms:modified>
</cp:coreProperties>
</file>